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F1" w:rsidRPr="00E568C4" w:rsidRDefault="00E568C4" w:rsidP="00E568C4">
      <w:pPr>
        <w:pStyle w:val="a5"/>
        <w:keepNext w:val="0"/>
        <w:keepLines w:val="0"/>
        <w:widowControl w:val="0"/>
        <w:spacing w:before="0"/>
        <w:ind w:firstLine="709"/>
        <w:jc w:val="right"/>
        <w:rPr>
          <w:rFonts w:ascii="Times New Roman" w:hAnsi="Times New Roman"/>
          <w:b w:val="0"/>
          <w:i w:val="0"/>
          <w:caps w:val="0"/>
          <w:sz w:val="28"/>
          <w:szCs w:val="28"/>
          <w:u w:val="single"/>
        </w:rPr>
      </w:pPr>
      <w:r w:rsidRPr="00E568C4">
        <w:rPr>
          <w:rFonts w:ascii="Times New Roman" w:hAnsi="Times New Roman"/>
          <w:b w:val="0"/>
          <w:i w:val="0"/>
          <w:caps w:val="0"/>
          <w:sz w:val="28"/>
          <w:szCs w:val="28"/>
          <w:u w:val="single"/>
        </w:rPr>
        <w:t>Проект</w:t>
      </w:r>
    </w:p>
    <w:p w:rsidR="00E568C4" w:rsidRPr="00E568C4" w:rsidRDefault="00E568C4" w:rsidP="00E568C4">
      <w:pPr>
        <w:pStyle w:val="a5"/>
        <w:keepNext w:val="0"/>
        <w:keepLines w:val="0"/>
        <w:widowControl w:val="0"/>
        <w:spacing w:before="0"/>
        <w:ind w:firstLine="709"/>
        <w:jc w:val="right"/>
        <w:rPr>
          <w:rFonts w:ascii="Times New Roman" w:hAnsi="Times New Roman"/>
          <w:b w:val="0"/>
          <w:i w:val="0"/>
          <w:sz w:val="28"/>
          <w:szCs w:val="28"/>
          <w:u w:val="single"/>
        </w:rPr>
      </w:pPr>
      <w:r w:rsidRPr="00E568C4">
        <w:rPr>
          <w:rFonts w:ascii="Times New Roman" w:hAnsi="Times New Roman"/>
          <w:b w:val="0"/>
          <w:i w:val="0"/>
          <w:caps w:val="0"/>
          <w:sz w:val="28"/>
          <w:szCs w:val="28"/>
          <w:u w:val="single"/>
        </w:rPr>
        <w:t xml:space="preserve">Вноситься Президентом України </w:t>
      </w:r>
    </w:p>
    <w:p w:rsidR="00A662F1" w:rsidRDefault="00A662F1" w:rsidP="00A662F1">
      <w:pPr>
        <w:pStyle w:val="a5"/>
        <w:keepNext w:val="0"/>
        <w:keepLines w:val="0"/>
        <w:widowControl w:val="0"/>
        <w:spacing w:before="0"/>
        <w:ind w:firstLine="709"/>
        <w:rPr>
          <w:rFonts w:ascii="Times New Roman" w:hAnsi="Times New Roman"/>
          <w:i w:val="0"/>
          <w:sz w:val="28"/>
          <w:szCs w:val="28"/>
        </w:rPr>
      </w:pPr>
    </w:p>
    <w:p w:rsidR="00E568C4" w:rsidRDefault="00E568C4" w:rsidP="00A662F1">
      <w:pPr>
        <w:pStyle w:val="a5"/>
        <w:keepNext w:val="0"/>
        <w:keepLines w:val="0"/>
        <w:widowControl w:val="0"/>
        <w:spacing w:before="0"/>
        <w:rPr>
          <w:rFonts w:ascii="Times New Roman" w:hAnsi="Times New Roman"/>
          <w:i w:val="0"/>
          <w:sz w:val="28"/>
          <w:szCs w:val="28"/>
        </w:rPr>
      </w:pPr>
    </w:p>
    <w:p w:rsidR="007E6515" w:rsidRPr="00A662F1" w:rsidRDefault="007E6515" w:rsidP="00A662F1">
      <w:pPr>
        <w:pStyle w:val="a5"/>
        <w:keepNext w:val="0"/>
        <w:keepLines w:val="0"/>
        <w:widowControl w:val="0"/>
        <w:spacing w:before="0"/>
        <w:rPr>
          <w:rFonts w:ascii="Times New Roman" w:hAnsi="Times New Roman"/>
          <w:i w:val="0"/>
          <w:sz w:val="28"/>
          <w:szCs w:val="28"/>
        </w:rPr>
      </w:pPr>
      <w:r w:rsidRPr="00A662F1">
        <w:rPr>
          <w:rFonts w:ascii="Times New Roman" w:hAnsi="Times New Roman"/>
          <w:i w:val="0"/>
          <w:sz w:val="28"/>
          <w:szCs w:val="28"/>
        </w:rPr>
        <w:t>З</w:t>
      </w:r>
      <w:r w:rsidR="00A662F1">
        <w:rPr>
          <w:rFonts w:ascii="Times New Roman" w:hAnsi="Times New Roman"/>
          <w:i w:val="0"/>
          <w:sz w:val="28"/>
          <w:szCs w:val="28"/>
        </w:rPr>
        <w:t xml:space="preserve"> </w:t>
      </w:r>
      <w:r w:rsidRPr="00A662F1">
        <w:rPr>
          <w:rFonts w:ascii="Times New Roman" w:hAnsi="Times New Roman"/>
          <w:i w:val="0"/>
          <w:sz w:val="28"/>
          <w:szCs w:val="28"/>
        </w:rPr>
        <w:t>а</w:t>
      </w:r>
      <w:r w:rsidR="00A662F1">
        <w:rPr>
          <w:rFonts w:ascii="Times New Roman" w:hAnsi="Times New Roman"/>
          <w:i w:val="0"/>
          <w:sz w:val="28"/>
          <w:szCs w:val="28"/>
        </w:rPr>
        <w:t xml:space="preserve"> </w:t>
      </w:r>
      <w:r w:rsidRPr="00A662F1">
        <w:rPr>
          <w:rFonts w:ascii="Times New Roman" w:hAnsi="Times New Roman"/>
          <w:i w:val="0"/>
          <w:sz w:val="28"/>
          <w:szCs w:val="28"/>
        </w:rPr>
        <w:t>к</w:t>
      </w:r>
      <w:r w:rsidR="00A662F1">
        <w:rPr>
          <w:rFonts w:ascii="Times New Roman" w:hAnsi="Times New Roman"/>
          <w:i w:val="0"/>
          <w:sz w:val="28"/>
          <w:szCs w:val="28"/>
        </w:rPr>
        <w:t xml:space="preserve"> </w:t>
      </w:r>
      <w:r w:rsidRPr="00A662F1">
        <w:rPr>
          <w:rFonts w:ascii="Times New Roman" w:hAnsi="Times New Roman"/>
          <w:i w:val="0"/>
          <w:sz w:val="28"/>
          <w:szCs w:val="28"/>
        </w:rPr>
        <w:t>о</w:t>
      </w:r>
      <w:r w:rsidR="00A662F1">
        <w:rPr>
          <w:rFonts w:ascii="Times New Roman" w:hAnsi="Times New Roman"/>
          <w:i w:val="0"/>
          <w:sz w:val="28"/>
          <w:szCs w:val="28"/>
        </w:rPr>
        <w:t xml:space="preserve"> </w:t>
      </w:r>
      <w:r w:rsidRPr="00A662F1">
        <w:rPr>
          <w:rFonts w:ascii="Times New Roman" w:hAnsi="Times New Roman"/>
          <w:i w:val="0"/>
          <w:sz w:val="28"/>
          <w:szCs w:val="28"/>
        </w:rPr>
        <w:t xml:space="preserve">н </w:t>
      </w:r>
      <w:r w:rsidR="00A662F1">
        <w:rPr>
          <w:rFonts w:ascii="Times New Roman" w:hAnsi="Times New Roman"/>
          <w:i w:val="0"/>
          <w:sz w:val="28"/>
          <w:szCs w:val="28"/>
        </w:rPr>
        <w:t xml:space="preserve">  </w:t>
      </w:r>
      <w:r w:rsidRPr="00A662F1">
        <w:rPr>
          <w:rFonts w:ascii="Times New Roman" w:hAnsi="Times New Roman"/>
          <w:i w:val="0"/>
          <w:sz w:val="28"/>
          <w:szCs w:val="28"/>
        </w:rPr>
        <w:t>У</w:t>
      </w:r>
      <w:r w:rsidR="00A662F1">
        <w:rPr>
          <w:rFonts w:ascii="Times New Roman" w:hAnsi="Times New Roman"/>
          <w:i w:val="0"/>
          <w:sz w:val="28"/>
          <w:szCs w:val="28"/>
        </w:rPr>
        <w:t xml:space="preserve"> </w:t>
      </w:r>
      <w:r w:rsidRPr="00A662F1">
        <w:rPr>
          <w:rFonts w:ascii="Times New Roman" w:hAnsi="Times New Roman"/>
          <w:i w:val="0"/>
          <w:sz w:val="28"/>
          <w:szCs w:val="28"/>
        </w:rPr>
        <w:t>к</w:t>
      </w:r>
      <w:r w:rsidR="00A662F1">
        <w:rPr>
          <w:rFonts w:ascii="Times New Roman" w:hAnsi="Times New Roman"/>
          <w:i w:val="0"/>
          <w:sz w:val="28"/>
          <w:szCs w:val="28"/>
        </w:rPr>
        <w:t xml:space="preserve"> </w:t>
      </w:r>
      <w:r w:rsidRPr="00A662F1">
        <w:rPr>
          <w:rFonts w:ascii="Times New Roman" w:hAnsi="Times New Roman"/>
          <w:i w:val="0"/>
          <w:sz w:val="28"/>
          <w:szCs w:val="28"/>
        </w:rPr>
        <w:t>р</w:t>
      </w:r>
      <w:r w:rsidR="00A662F1">
        <w:rPr>
          <w:rFonts w:ascii="Times New Roman" w:hAnsi="Times New Roman"/>
          <w:i w:val="0"/>
          <w:sz w:val="28"/>
          <w:szCs w:val="28"/>
        </w:rPr>
        <w:t xml:space="preserve"> </w:t>
      </w:r>
      <w:r w:rsidRPr="00A662F1">
        <w:rPr>
          <w:rFonts w:ascii="Times New Roman" w:hAnsi="Times New Roman"/>
          <w:i w:val="0"/>
          <w:sz w:val="28"/>
          <w:szCs w:val="28"/>
        </w:rPr>
        <w:t>а</w:t>
      </w:r>
      <w:r w:rsidR="00A662F1">
        <w:rPr>
          <w:rFonts w:ascii="Times New Roman" w:hAnsi="Times New Roman"/>
          <w:i w:val="0"/>
          <w:sz w:val="28"/>
          <w:szCs w:val="28"/>
        </w:rPr>
        <w:t xml:space="preserve"> </w:t>
      </w:r>
      <w:r w:rsidRPr="00A662F1">
        <w:rPr>
          <w:rFonts w:ascii="Times New Roman" w:hAnsi="Times New Roman"/>
          <w:i w:val="0"/>
          <w:sz w:val="28"/>
          <w:szCs w:val="28"/>
        </w:rPr>
        <w:t>Ї</w:t>
      </w:r>
      <w:r w:rsidR="00A662F1">
        <w:rPr>
          <w:rFonts w:ascii="Times New Roman" w:hAnsi="Times New Roman"/>
          <w:i w:val="0"/>
          <w:sz w:val="28"/>
          <w:szCs w:val="28"/>
        </w:rPr>
        <w:t xml:space="preserve"> </w:t>
      </w:r>
      <w:r w:rsidRPr="00A662F1">
        <w:rPr>
          <w:rFonts w:ascii="Times New Roman" w:hAnsi="Times New Roman"/>
          <w:i w:val="0"/>
          <w:sz w:val="28"/>
          <w:szCs w:val="28"/>
        </w:rPr>
        <w:t>н</w:t>
      </w:r>
      <w:r w:rsidR="00A662F1">
        <w:rPr>
          <w:rFonts w:ascii="Times New Roman" w:hAnsi="Times New Roman"/>
          <w:i w:val="0"/>
          <w:sz w:val="28"/>
          <w:szCs w:val="28"/>
        </w:rPr>
        <w:t xml:space="preserve"> </w:t>
      </w:r>
      <w:r w:rsidRPr="00A662F1">
        <w:rPr>
          <w:rFonts w:ascii="Times New Roman" w:hAnsi="Times New Roman"/>
          <w:i w:val="0"/>
          <w:sz w:val="28"/>
          <w:szCs w:val="28"/>
        </w:rPr>
        <w:t>и</w:t>
      </w:r>
    </w:p>
    <w:p w:rsidR="00A662F1" w:rsidRDefault="00A662F1" w:rsidP="00A662F1">
      <w:pPr>
        <w:widowControl w:val="0"/>
        <w:jc w:val="center"/>
        <w:rPr>
          <w:rFonts w:eastAsia="Calibri"/>
          <w:sz w:val="28"/>
          <w:szCs w:val="28"/>
          <w:lang w:val="uk-UA" w:eastAsia="en-US"/>
        </w:rPr>
      </w:pPr>
    </w:p>
    <w:p w:rsidR="002B0CB0" w:rsidRPr="00A662F1" w:rsidRDefault="007E6515" w:rsidP="00A662F1">
      <w:pPr>
        <w:widowControl w:val="0"/>
        <w:jc w:val="center"/>
        <w:rPr>
          <w:rFonts w:eastAsia="Calibri"/>
          <w:sz w:val="28"/>
          <w:szCs w:val="28"/>
          <w:lang w:val="uk-UA" w:eastAsia="en-US"/>
        </w:rPr>
      </w:pPr>
      <w:r w:rsidRPr="00A662F1">
        <w:rPr>
          <w:rFonts w:eastAsia="Calibri"/>
          <w:sz w:val="28"/>
          <w:szCs w:val="28"/>
          <w:lang w:val="uk-UA" w:eastAsia="en-US"/>
        </w:rPr>
        <w:t xml:space="preserve">Про внесення змін до </w:t>
      </w:r>
      <w:r w:rsidR="00A662F1">
        <w:rPr>
          <w:rFonts w:eastAsia="Calibri"/>
          <w:sz w:val="28"/>
          <w:szCs w:val="28"/>
          <w:lang w:val="uk-UA" w:eastAsia="en-US"/>
        </w:rPr>
        <w:t>розділу ХХ "</w:t>
      </w:r>
      <w:r w:rsidR="002B0CB0" w:rsidRPr="00A662F1">
        <w:rPr>
          <w:rFonts w:eastAsia="Calibri"/>
          <w:sz w:val="28"/>
          <w:szCs w:val="28"/>
          <w:lang w:val="uk-UA" w:eastAsia="en-US"/>
        </w:rPr>
        <w:t>Перехідні положення</w:t>
      </w:r>
      <w:r w:rsidR="00A662F1">
        <w:rPr>
          <w:rFonts w:eastAsia="Calibri"/>
          <w:sz w:val="28"/>
          <w:szCs w:val="28"/>
          <w:lang w:val="uk-UA" w:eastAsia="en-US"/>
        </w:rPr>
        <w:t>"</w:t>
      </w:r>
    </w:p>
    <w:p w:rsidR="002B0CB0" w:rsidRPr="00A662F1" w:rsidRDefault="007E6515" w:rsidP="00A662F1">
      <w:pPr>
        <w:widowControl w:val="0"/>
        <w:jc w:val="center"/>
        <w:rPr>
          <w:rFonts w:eastAsia="Calibri"/>
          <w:sz w:val="28"/>
          <w:szCs w:val="28"/>
          <w:lang w:val="uk-UA" w:eastAsia="en-US"/>
        </w:rPr>
      </w:pPr>
      <w:r w:rsidRPr="00A662F1">
        <w:rPr>
          <w:rFonts w:eastAsia="Calibri"/>
          <w:sz w:val="28"/>
          <w:szCs w:val="28"/>
          <w:lang w:val="uk-UA" w:eastAsia="en-US"/>
        </w:rPr>
        <w:t>Податкового кодексу України</w:t>
      </w:r>
      <w:r w:rsidR="002B0CB0" w:rsidRPr="00A662F1">
        <w:rPr>
          <w:rFonts w:eastAsia="Calibri"/>
          <w:sz w:val="28"/>
          <w:szCs w:val="28"/>
          <w:lang w:val="uk-UA" w:eastAsia="en-US"/>
        </w:rPr>
        <w:t xml:space="preserve"> щодо особливостей оподаткування</w:t>
      </w:r>
    </w:p>
    <w:p w:rsidR="00932F39" w:rsidRPr="00A662F1" w:rsidRDefault="00943421" w:rsidP="00A662F1">
      <w:pPr>
        <w:widowControl w:val="0"/>
        <w:jc w:val="center"/>
        <w:rPr>
          <w:rFonts w:eastAsia="Calibri"/>
          <w:sz w:val="28"/>
          <w:szCs w:val="28"/>
          <w:lang w:val="uk-UA" w:eastAsia="en-US"/>
        </w:rPr>
      </w:pPr>
      <w:r>
        <w:rPr>
          <w:rFonts w:eastAsia="Calibri"/>
          <w:sz w:val="28"/>
          <w:szCs w:val="28"/>
          <w:lang w:val="uk-UA" w:eastAsia="en-US"/>
        </w:rPr>
        <w:t>суб'</w:t>
      </w:r>
      <w:r w:rsidR="002B0CB0" w:rsidRPr="00A662F1">
        <w:rPr>
          <w:rFonts w:eastAsia="Calibri"/>
          <w:sz w:val="28"/>
          <w:szCs w:val="28"/>
          <w:lang w:val="uk-UA" w:eastAsia="en-US"/>
        </w:rPr>
        <w:t xml:space="preserve">єктів господарювання, які реалізують інвестиційні </w:t>
      </w:r>
      <w:r w:rsidR="00A662F1">
        <w:rPr>
          <w:rFonts w:eastAsia="Calibri"/>
          <w:sz w:val="28"/>
          <w:szCs w:val="28"/>
          <w:lang w:val="uk-UA" w:eastAsia="en-US"/>
        </w:rPr>
        <w:t xml:space="preserve">                                    </w:t>
      </w:r>
      <w:r w:rsidR="002B0CB0" w:rsidRPr="00A662F1">
        <w:rPr>
          <w:rFonts w:eastAsia="Calibri"/>
          <w:sz w:val="28"/>
          <w:szCs w:val="28"/>
          <w:lang w:val="uk-UA" w:eastAsia="en-US"/>
        </w:rPr>
        <w:t>проекти</w:t>
      </w:r>
      <w:r w:rsidR="00A662F1">
        <w:rPr>
          <w:rFonts w:eastAsia="Calibri"/>
          <w:sz w:val="28"/>
          <w:szCs w:val="28"/>
          <w:lang w:val="uk-UA" w:eastAsia="en-US"/>
        </w:rPr>
        <w:t xml:space="preserve"> </w:t>
      </w:r>
      <w:r w:rsidR="00C87EAF" w:rsidRPr="00A662F1">
        <w:rPr>
          <w:rFonts w:eastAsia="Calibri"/>
          <w:sz w:val="28"/>
          <w:szCs w:val="28"/>
          <w:lang w:val="uk-UA" w:eastAsia="en-US"/>
        </w:rPr>
        <w:t xml:space="preserve">зі </w:t>
      </w:r>
      <w:r w:rsidR="002B0CB0" w:rsidRPr="00A662F1">
        <w:rPr>
          <w:rFonts w:eastAsia="Calibri"/>
          <w:sz w:val="28"/>
          <w:szCs w:val="28"/>
          <w:lang w:val="uk-UA" w:eastAsia="en-US"/>
        </w:rPr>
        <w:t>значними інвестиціями</w:t>
      </w:r>
    </w:p>
    <w:p w:rsidR="007E6515" w:rsidRPr="00205689" w:rsidRDefault="007E6515" w:rsidP="00A662F1">
      <w:pPr>
        <w:widowControl w:val="0"/>
        <w:jc w:val="center"/>
        <w:rPr>
          <w:rFonts w:eastAsia="Calibri"/>
          <w:sz w:val="28"/>
          <w:szCs w:val="28"/>
          <w:lang w:val="uk-UA" w:eastAsia="en-US"/>
        </w:rPr>
      </w:pPr>
      <w:r w:rsidRPr="00205689">
        <w:rPr>
          <w:rFonts w:eastAsia="Calibri"/>
          <w:sz w:val="28"/>
          <w:szCs w:val="28"/>
          <w:lang w:val="uk-UA" w:eastAsia="en-US"/>
        </w:rPr>
        <w:t>_________________________________</w:t>
      </w:r>
      <w:r w:rsidR="00A662F1" w:rsidRPr="00205689">
        <w:rPr>
          <w:rFonts w:eastAsia="Calibri"/>
          <w:sz w:val="28"/>
          <w:szCs w:val="28"/>
          <w:lang w:val="uk-UA" w:eastAsia="en-US"/>
        </w:rPr>
        <w:t>____________</w:t>
      </w:r>
      <w:r w:rsidRPr="00205689">
        <w:rPr>
          <w:rFonts w:eastAsia="Calibri"/>
          <w:sz w:val="28"/>
          <w:szCs w:val="28"/>
          <w:lang w:val="uk-UA" w:eastAsia="en-US"/>
        </w:rPr>
        <w:t>_____________</w:t>
      </w:r>
    </w:p>
    <w:p w:rsidR="007E6515" w:rsidRPr="00205689" w:rsidRDefault="007E6515" w:rsidP="00A662F1">
      <w:pPr>
        <w:widowControl w:val="0"/>
        <w:ind w:firstLine="709"/>
        <w:jc w:val="center"/>
        <w:rPr>
          <w:rFonts w:eastAsia="Calibri"/>
          <w:sz w:val="28"/>
          <w:szCs w:val="28"/>
          <w:lang w:val="uk-UA" w:eastAsia="en-US"/>
        </w:rPr>
      </w:pPr>
      <w:bookmarkStart w:id="0" w:name="o8"/>
      <w:bookmarkEnd w:id="0"/>
    </w:p>
    <w:p w:rsidR="000B7086" w:rsidRDefault="000B7086" w:rsidP="00A662F1">
      <w:pPr>
        <w:pStyle w:val="a3"/>
        <w:widowControl w:val="0"/>
        <w:spacing w:before="0"/>
        <w:ind w:firstLine="709"/>
        <w:rPr>
          <w:rFonts w:ascii="Times New Roman" w:eastAsia="Calibri" w:hAnsi="Times New Roman"/>
          <w:sz w:val="28"/>
          <w:szCs w:val="28"/>
          <w:lang w:eastAsia="en-US"/>
        </w:rPr>
      </w:pPr>
    </w:p>
    <w:p w:rsidR="007E6515" w:rsidRPr="00943421" w:rsidRDefault="007E6515" w:rsidP="00A662F1">
      <w:pPr>
        <w:pStyle w:val="a3"/>
        <w:widowControl w:val="0"/>
        <w:spacing w:before="0"/>
        <w:ind w:firstLine="709"/>
        <w:rPr>
          <w:rFonts w:ascii="Times New Roman" w:eastAsia="Calibri" w:hAnsi="Times New Roman"/>
          <w:sz w:val="28"/>
          <w:szCs w:val="28"/>
        </w:rPr>
      </w:pPr>
      <w:r w:rsidRPr="00A662F1">
        <w:rPr>
          <w:rFonts w:ascii="Times New Roman" w:eastAsia="Calibri" w:hAnsi="Times New Roman"/>
          <w:sz w:val="28"/>
          <w:szCs w:val="28"/>
          <w:lang w:eastAsia="en-US"/>
        </w:rPr>
        <w:t xml:space="preserve">Верховна Рада України </w:t>
      </w:r>
      <w:r w:rsidR="00A662F1">
        <w:rPr>
          <w:rFonts w:ascii="Times New Roman" w:eastAsia="Calibri" w:hAnsi="Times New Roman"/>
          <w:sz w:val="28"/>
          <w:szCs w:val="28"/>
          <w:lang w:eastAsia="en-US"/>
        </w:rPr>
        <w:t xml:space="preserve"> </w:t>
      </w:r>
      <w:r w:rsidRPr="00A662F1">
        <w:rPr>
          <w:rFonts w:ascii="Times New Roman" w:eastAsia="Calibri" w:hAnsi="Times New Roman"/>
          <w:sz w:val="28"/>
          <w:szCs w:val="28"/>
        </w:rPr>
        <w:t>п о с т а н о в л я є:</w:t>
      </w:r>
      <w:bookmarkStart w:id="1" w:name="_GoBack"/>
      <w:bookmarkEnd w:id="1"/>
    </w:p>
    <w:p w:rsidR="00E568C4" w:rsidRDefault="00E568C4" w:rsidP="00E568C4">
      <w:pPr>
        <w:pStyle w:val="a3"/>
        <w:widowControl w:val="0"/>
        <w:spacing w:before="0"/>
        <w:ind w:firstLine="709"/>
        <w:rPr>
          <w:rFonts w:ascii="Times New Roman" w:eastAsia="Calibri" w:hAnsi="Times New Roman"/>
          <w:sz w:val="28"/>
          <w:szCs w:val="28"/>
          <w:lang w:eastAsia="en-US"/>
        </w:rPr>
      </w:pPr>
      <w:bookmarkStart w:id="2" w:name="n5"/>
      <w:bookmarkEnd w:id="2"/>
    </w:p>
    <w:p w:rsidR="008E2C39" w:rsidRPr="00A662F1" w:rsidRDefault="00B514D3" w:rsidP="00E568C4">
      <w:pPr>
        <w:pStyle w:val="a3"/>
        <w:widowControl w:val="0"/>
        <w:spacing w:before="0"/>
        <w:ind w:firstLine="709"/>
        <w:rPr>
          <w:rFonts w:ascii="Times New Roman" w:eastAsia="Calibri" w:hAnsi="Times New Roman"/>
          <w:sz w:val="28"/>
          <w:szCs w:val="28"/>
          <w:lang w:eastAsia="en-US"/>
        </w:rPr>
      </w:pPr>
      <w:r>
        <w:rPr>
          <w:rFonts w:ascii="Times New Roman" w:eastAsia="Calibri" w:hAnsi="Times New Roman"/>
          <w:sz w:val="28"/>
          <w:szCs w:val="28"/>
          <w:lang w:eastAsia="en-US"/>
        </w:rPr>
        <w:t xml:space="preserve">І. </w:t>
      </w:r>
      <w:r w:rsidR="008E2C39" w:rsidRPr="00A662F1">
        <w:rPr>
          <w:rFonts w:ascii="Times New Roman" w:eastAsia="Calibri" w:hAnsi="Times New Roman"/>
          <w:sz w:val="28"/>
          <w:szCs w:val="28"/>
          <w:lang w:eastAsia="en-US"/>
        </w:rPr>
        <w:t xml:space="preserve">Внести </w:t>
      </w:r>
      <w:r w:rsidR="0091193E" w:rsidRPr="00A662F1">
        <w:rPr>
          <w:rFonts w:ascii="Times New Roman" w:eastAsia="Calibri" w:hAnsi="Times New Roman"/>
          <w:sz w:val="28"/>
          <w:szCs w:val="28"/>
          <w:lang w:eastAsia="en-US"/>
        </w:rPr>
        <w:t xml:space="preserve">до розділу XX </w:t>
      </w:r>
      <w:r w:rsidR="00A662F1">
        <w:rPr>
          <w:rFonts w:ascii="Times New Roman" w:eastAsia="Calibri" w:hAnsi="Times New Roman"/>
          <w:sz w:val="28"/>
          <w:szCs w:val="28"/>
          <w:lang w:eastAsia="en-US"/>
        </w:rPr>
        <w:t>"</w:t>
      </w:r>
      <w:r w:rsidR="0091193E" w:rsidRPr="00A662F1">
        <w:rPr>
          <w:rFonts w:ascii="Times New Roman" w:eastAsia="Calibri" w:hAnsi="Times New Roman"/>
          <w:sz w:val="28"/>
          <w:szCs w:val="28"/>
          <w:lang w:eastAsia="en-US"/>
        </w:rPr>
        <w:t>Перехідні положення</w:t>
      </w:r>
      <w:r w:rsidR="00A662F1">
        <w:rPr>
          <w:rFonts w:ascii="Times New Roman" w:eastAsia="Calibri" w:hAnsi="Times New Roman"/>
          <w:sz w:val="28"/>
          <w:szCs w:val="28"/>
          <w:lang w:eastAsia="en-US"/>
        </w:rPr>
        <w:t>"</w:t>
      </w:r>
      <w:r w:rsidR="0091193E" w:rsidRPr="00A662F1">
        <w:rPr>
          <w:rFonts w:ascii="Times New Roman" w:eastAsia="Calibri" w:hAnsi="Times New Roman"/>
          <w:sz w:val="28"/>
          <w:szCs w:val="28"/>
          <w:lang w:eastAsia="en-US"/>
        </w:rPr>
        <w:t xml:space="preserve"> </w:t>
      </w:r>
      <w:r w:rsidR="008E2C39" w:rsidRPr="00A662F1">
        <w:rPr>
          <w:rFonts w:ascii="Times New Roman" w:eastAsia="Calibri" w:hAnsi="Times New Roman"/>
          <w:sz w:val="28"/>
          <w:szCs w:val="28"/>
          <w:lang w:eastAsia="en-US"/>
        </w:rPr>
        <w:t>Податкового кодексу України (Відомості Вер</w:t>
      </w:r>
      <w:r w:rsidR="00A662F1">
        <w:rPr>
          <w:rFonts w:ascii="Times New Roman" w:eastAsia="Calibri" w:hAnsi="Times New Roman"/>
          <w:sz w:val="28"/>
          <w:szCs w:val="28"/>
          <w:lang w:eastAsia="en-US"/>
        </w:rPr>
        <w:t>ховної Ради України, 2011 р., №</w:t>
      </w:r>
      <w:r w:rsidR="008E2C39" w:rsidRPr="00A662F1">
        <w:rPr>
          <w:rFonts w:ascii="Times New Roman" w:eastAsia="Calibri" w:hAnsi="Times New Roman"/>
          <w:sz w:val="28"/>
          <w:szCs w:val="28"/>
          <w:lang w:eastAsia="en-US"/>
        </w:rPr>
        <w:t xml:space="preserve"> 13</w:t>
      </w:r>
      <w:r w:rsidR="00A662F1">
        <w:rPr>
          <w:rFonts w:ascii="Times New Roman" w:eastAsia="Calibri" w:hAnsi="Times New Roman"/>
          <w:sz w:val="28"/>
          <w:szCs w:val="28"/>
          <w:lang w:eastAsia="en-US"/>
        </w:rPr>
        <w:t xml:space="preserve"> – </w:t>
      </w:r>
      <w:r w:rsidR="008E2C39" w:rsidRPr="00A662F1">
        <w:rPr>
          <w:rFonts w:ascii="Times New Roman" w:eastAsia="Calibri" w:hAnsi="Times New Roman"/>
          <w:sz w:val="28"/>
          <w:szCs w:val="28"/>
          <w:lang w:eastAsia="en-US"/>
        </w:rPr>
        <w:t>17, ст. 112)</w:t>
      </w:r>
      <w:r w:rsidR="0091193E" w:rsidRPr="00A662F1">
        <w:rPr>
          <w:rFonts w:ascii="Times New Roman" w:eastAsia="Calibri" w:hAnsi="Times New Roman"/>
          <w:sz w:val="28"/>
          <w:szCs w:val="28"/>
          <w:lang w:eastAsia="en-US"/>
        </w:rPr>
        <w:t xml:space="preserve"> </w:t>
      </w:r>
      <w:r w:rsidR="00A662F1">
        <w:rPr>
          <w:rFonts w:ascii="Times New Roman" w:eastAsia="Calibri" w:hAnsi="Times New Roman"/>
          <w:sz w:val="28"/>
          <w:szCs w:val="28"/>
          <w:lang w:eastAsia="en-US"/>
        </w:rPr>
        <w:t xml:space="preserve">                     </w:t>
      </w:r>
      <w:r w:rsidR="0091193E" w:rsidRPr="00A662F1">
        <w:rPr>
          <w:rFonts w:ascii="Times New Roman" w:eastAsia="Calibri" w:hAnsi="Times New Roman"/>
          <w:sz w:val="28"/>
          <w:szCs w:val="28"/>
          <w:lang w:eastAsia="en-US"/>
        </w:rPr>
        <w:t>такі зміни</w:t>
      </w:r>
      <w:r w:rsidR="008E2C39" w:rsidRPr="00A662F1">
        <w:rPr>
          <w:rFonts w:ascii="Times New Roman" w:eastAsia="Calibri" w:hAnsi="Times New Roman"/>
          <w:sz w:val="28"/>
          <w:szCs w:val="28"/>
          <w:lang w:eastAsia="en-US"/>
        </w:rPr>
        <w:t>:</w:t>
      </w:r>
    </w:p>
    <w:p w:rsidR="009463E8" w:rsidRPr="00A662F1" w:rsidRDefault="00AA00F9" w:rsidP="00B514D3">
      <w:pPr>
        <w:pStyle w:val="a3"/>
        <w:widowControl w:val="0"/>
        <w:ind w:firstLine="709"/>
        <w:rPr>
          <w:rFonts w:ascii="Times New Roman" w:eastAsia="Calibri" w:hAnsi="Times New Roman"/>
          <w:sz w:val="28"/>
          <w:szCs w:val="28"/>
          <w:lang w:eastAsia="en-US"/>
        </w:rPr>
      </w:pPr>
      <w:r w:rsidRPr="00A662F1">
        <w:rPr>
          <w:rFonts w:ascii="Times New Roman" w:eastAsia="Calibri" w:hAnsi="Times New Roman"/>
          <w:sz w:val="28"/>
          <w:szCs w:val="28"/>
          <w:lang w:eastAsia="en-US"/>
        </w:rPr>
        <w:t>1</w:t>
      </w:r>
      <w:r w:rsidR="00B514D3">
        <w:rPr>
          <w:rFonts w:ascii="Times New Roman" w:eastAsia="Calibri" w:hAnsi="Times New Roman"/>
          <w:sz w:val="28"/>
          <w:szCs w:val="28"/>
          <w:lang w:eastAsia="en-US"/>
        </w:rPr>
        <w:t>)</w:t>
      </w:r>
      <w:r w:rsidRPr="00A662F1">
        <w:rPr>
          <w:rFonts w:ascii="Times New Roman" w:eastAsia="Calibri" w:hAnsi="Times New Roman"/>
          <w:sz w:val="28"/>
          <w:szCs w:val="28"/>
          <w:lang w:eastAsia="en-US"/>
        </w:rPr>
        <w:t xml:space="preserve"> </w:t>
      </w:r>
      <w:hyperlink r:id="rId7" w:anchor="n8221" w:tgtFrame="_blank" w:history="1">
        <w:r w:rsidR="00B514D3">
          <w:rPr>
            <w:rFonts w:ascii="Times New Roman" w:eastAsia="Calibri" w:hAnsi="Times New Roman"/>
            <w:sz w:val="28"/>
            <w:szCs w:val="28"/>
            <w:lang w:eastAsia="en-US"/>
          </w:rPr>
          <w:t>п</w:t>
        </w:r>
        <w:r w:rsidR="009463E8" w:rsidRPr="00A662F1">
          <w:rPr>
            <w:rFonts w:ascii="Times New Roman" w:eastAsia="Calibri" w:hAnsi="Times New Roman"/>
            <w:sz w:val="28"/>
            <w:szCs w:val="28"/>
            <w:lang w:eastAsia="en-US"/>
          </w:rPr>
          <w:t xml:space="preserve">ідрозділ </w:t>
        </w:r>
      </w:hyperlink>
      <w:r w:rsidR="00B514D3">
        <w:rPr>
          <w:rFonts w:ascii="Times New Roman" w:eastAsia="Calibri" w:hAnsi="Times New Roman"/>
          <w:sz w:val="28"/>
          <w:szCs w:val="28"/>
          <w:lang w:eastAsia="en-US"/>
        </w:rPr>
        <w:t xml:space="preserve">2 </w:t>
      </w:r>
      <w:r w:rsidR="009463E8" w:rsidRPr="00A662F1">
        <w:rPr>
          <w:rFonts w:ascii="Times New Roman" w:eastAsia="Calibri" w:hAnsi="Times New Roman"/>
          <w:sz w:val="28"/>
          <w:szCs w:val="28"/>
          <w:lang w:eastAsia="en-US"/>
        </w:rPr>
        <w:t xml:space="preserve">доповнити пунктом </w:t>
      </w:r>
      <w:r w:rsidR="00FA5900" w:rsidRPr="00A662F1">
        <w:rPr>
          <w:rFonts w:ascii="Times New Roman" w:eastAsia="Calibri" w:hAnsi="Times New Roman"/>
          <w:sz w:val="28"/>
          <w:szCs w:val="28"/>
          <w:lang w:eastAsia="en-US"/>
        </w:rPr>
        <w:t>74</w:t>
      </w:r>
      <w:r w:rsidR="009463E8" w:rsidRPr="00A662F1">
        <w:rPr>
          <w:rFonts w:ascii="Times New Roman" w:eastAsia="Calibri" w:hAnsi="Times New Roman"/>
          <w:sz w:val="28"/>
          <w:szCs w:val="28"/>
          <w:lang w:eastAsia="en-US"/>
        </w:rPr>
        <w:t xml:space="preserve"> такого змісту:</w:t>
      </w:r>
    </w:p>
    <w:p w:rsidR="00234560" w:rsidRPr="00A662F1" w:rsidRDefault="00A662F1" w:rsidP="000B7086">
      <w:pPr>
        <w:pStyle w:val="a3"/>
        <w:widowControl w:val="0"/>
        <w:spacing w:after="120"/>
        <w:ind w:firstLine="709"/>
        <w:rPr>
          <w:rFonts w:ascii="Times New Roman" w:eastAsia="Calibri" w:hAnsi="Times New Roman"/>
          <w:sz w:val="28"/>
          <w:szCs w:val="28"/>
          <w:lang w:eastAsia="en-US"/>
        </w:rPr>
      </w:pPr>
      <w:r>
        <w:rPr>
          <w:rFonts w:ascii="Times New Roman" w:eastAsia="Calibri" w:hAnsi="Times New Roman"/>
          <w:sz w:val="28"/>
          <w:szCs w:val="28"/>
          <w:lang w:eastAsia="en-US"/>
        </w:rPr>
        <w:t>"</w:t>
      </w:r>
      <w:r w:rsidR="00354BC5" w:rsidRPr="00A662F1">
        <w:rPr>
          <w:rFonts w:ascii="Times New Roman" w:eastAsia="Calibri" w:hAnsi="Times New Roman"/>
          <w:sz w:val="28"/>
          <w:szCs w:val="28"/>
          <w:lang w:eastAsia="en-US"/>
        </w:rPr>
        <w:t xml:space="preserve">74. </w:t>
      </w:r>
      <w:r w:rsidR="004C79EE" w:rsidRPr="00A662F1">
        <w:rPr>
          <w:rFonts w:ascii="Times New Roman" w:eastAsia="Calibri" w:hAnsi="Times New Roman"/>
          <w:sz w:val="28"/>
          <w:szCs w:val="28"/>
          <w:lang w:eastAsia="en-US"/>
        </w:rPr>
        <w:t xml:space="preserve">Тимчасово, </w:t>
      </w:r>
      <w:r w:rsidR="00FA5900" w:rsidRPr="00A662F1">
        <w:rPr>
          <w:rFonts w:ascii="Times New Roman" w:eastAsia="Calibri" w:hAnsi="Times New Roman"/>
          <w:sz w:val="28"/>
          <w:szCs w:val="28"/>
          <w:lang w:eastAsia="en-US"/>
        </w:rPr>
        <w:t>до 1 січня 203</w:t>
      </w:r>
      <w:r w:rsidR="00FA5900" w:rsidRPr="006B19C5">
        <w:rPr>
          <w:rFonts w:ascii="Times New Roman" w:eastAsia="Calibri" w:hAnsi="Times New Roman"/>
          <w:sz w:val="28"/>
          <w:szCs w:val="28"/>
          <w:lang w:eastAsia="en-US"/>
        </w:rPr>
        <w:t>5</w:t>
      </w:r>
      <w:r w:rsidR="00FA5900" w:rsidRPr="00A662F1">
        <w:rPr>
          <w:rFonts w:ascii="Times New Roman" w:eastAsia="Calibri" w:hAnsi="Times New Roman"/>
          <w:sz w:val="28"/>
          <w:szCs w:val="28"/>
          <w:lang w:eastAsia="en-US"/>
        </w:rPr>
        <w:t xml:space="preserve"> року</w:t>
      </w:r>
      <w:r w:rsidR="004C79EE" w:rsidRPr="00A662F1">
        <w:rPr>
          <w:rFonts w:ascii="Times New Roman" w:eastAsia="Calibri" w:hAnsi="Times New Roman"/>
          <w:sz w:val="28"/>
          <w:szCs w:val="28"/>
          <w:lang w:eastAsia="en-US"/>
        </w:rPr>
        <w:t>,</w:t>
      </w:r>
      <w:r w:rsidR="00FA5900" w:rsidRPr="00A662F1">
        <w:rPr>
          <w:rFonts w:ascii="Times New Roman" w:eastAsia="Calibri" w:hAnsi="Times New Roman"/>
          <w:sz w:val="28"/>
          <w:szCs w:val="28"/>
          <w:lang w:eastAsia="en-US"/>
        </w:rPr>
        <w:t xml:space="preserve"> </w:t>
      </w:r>
      <w:r w:rsidR="009F7F40" w:rsidRPr="00A662F1">
        <w:rPr>
          <w:rFonts w:ascii="Times New Roman" w:eastAsia="Calibri" w:hAnsi="Times New Roman"/>
          <w:sz w:val="28"/>
          <w:szCs w:val="28"/>
          <w:lang w:eastAsia="en-US"/>
        </w:rPr>
        <w:t>звільняються від оподаткування податком на додану вартість операції з ввезення на митну територію України товарів у митному режимі імпорту, визначених</w:t>
      </w:r>
      <w:r w:rsidR="00B514D3">
        <w:rPr>
          <w:rFonts w:ascii="Times New Roman" w:eastAsia="Calibri" w:hAnsi="Times New Roman"/>
          <w:sz w:val="28"/>
          <w:szCs w:val="28"/>
          <w:lang w:eastAsia="en-US"/>
        </w:rPr>
        <w:t xml:space="preserve"> </w:t>
      </w:r>
      <w:hyperlink r:id="rId8" w:anchor="n4729" w:tgtFrame="_blank" w:history="1">
        <w:r w:rsidR="009F7F40" w:rsidRPr="00A662F1">
          <w:rPr>
            <w:rFonts w:ascii="Times New Roman" w:eastAsia="Calibri" w:hAnsi="Times New Roman"/>
            <w:sz w:val="28"/>
            <w:szCs w:val="28"/>
            <w:lang w:eastAsia="en-US"/>
          </w:rPr>
          <w:t>підпунктом 1</w:t>
        </w:r>
        <w:r w:rsidR="00234560" w:rsidRPr="00A662F1">
          <w:rPr>
            <w:rFonts w:ascii="Times New Roman" w:eastAsia="Calibri" w:hAnsi="Times New Roman"/>
            <w:sz w:val="28"/>
            <w:szCs w:val="28"/>
            <w:lang w:eastAsia="en-US"/>
          </w:rPr>
          <w:t>5</w:t>
        </w:r>
        <w:r w:rsidR="009F7F40" w:rsidRPr="00A662F1">
          <w:rPr>
            <w:rFonts w:ascii="Times New Roman" w:eastAsia="Calibri" w:hAnsi="Times New Roman"/>
            <w:sz w:val="28"/>
            <w:szCs w:val="28"/>
            <w:lang w:eastAsia="en-US"/>
          </w:rPr>
          <w:t xml:space="preserve"> пункту 4 розділу XXI</w:t>
        </w:r>
      </w:hyperlink>
      <w:hyperlink r:id="rId9" w:anchor="n4729" w:tgtFrame="_blank" w:history="1">
        <w:r w:rsidR="00B514D3">
          <w:rPr>
            <w:rFonts w:ascii="Times New Roman" w:eastAsia="Calibri" w:hAnsi="Times New Roman"/>
            <w:sz w:val="28"/>
            <w:szCs w:val="28"/>
            <w:lang w:eastAsia="en-US"/>
          </w:rPr>
          <w:t xml:space="preserve"> </w:t>
        </w:r>
        <w:r>
          <w:rPr>
            <w:rFonts w:ascii="Times New Roman" w:eastAsia="Calibri" w:hAnsi="Times New Roman"/>
            <w:sz w:val="28"/>
            <w:szCs w:val="28"/>
            <w:lang w:eastAsia="en-US"/>
          </w:rPr>
          <w:t>"</w:t>
        </w:r>
        <w:r w:rsidR="009F7F40" w:rsidRPr="00A662F1">
          <w:rPr>
            <w:rFonts w:ascii="Times New Roman" w:eastAsia="Calibri" w:hAnsi="Times New Roman"/>
            <w:sz w:val="28"/>
            <w:szCs w:val="28"/>
            <w:lang w:eastAsia="en-US"/>
          </w:rPr>
          <w:t>Прикінцеві та перехідні положення</w:t>
        </w:r>
        <w:r>
          <w:rPr>
            <w:rFonts w:ascii="Times New Roman" w:eastAsia="Calibri" w:hAnsi="Times New Roman"/>
            <w:sz w:val="28"/>
            <w:szCs w:val="28"/>
            <w:lang w:eastAsia="en-US"/>
          </w:rPr>
          <w:t>"</w:t>
        </w:r>
        <w:r w:rsidR="009F7F40" w:rsidRPr="00A662F1">
          <w:rPr>
            <w:rFonts w:ascii="Times New Roman" w:eastAsia="Calibri" w:hAnsi="Times New Roman"/>
            <w:sz w:val="28"/>
            <w:szCs w:val="28"/>
            <w:lang w:eastAsia="en-US"/>
          </w:rPr>
          <w:t xml:space="preserve"> Митного кодексу України</w:t>
        </w:r>
      </w:hyperlink>
      <w:r w:rsidR="00943421">
        <w:rPr>
          <w:rFonts w:ascii="Times New Roman" w:eastAsia="Calibri" w:hAnsi="Times New Roman"/>
          <w:sz w:val="28"/>
          <w:szCs w:val="28"/>
          <w:lang w:eastAsia="en-US"/>
        </w:rPr>
        <w:t>.</w:t>
      </w:r>
    </w:p>
    <w:p w:rsidR="00104D36" w:rsidRPr="00A662F1" w:rsidRDefault="00234560" w:rsidP="000B7086">
      <w:pPr>
        <w:pStyle w:val="a3"/>
        <w:widowControl w:val="0"/>
        <w:spacing w:before="0" w:after="120"/>
        <w:ind w:firstLine="709"/>
        <w:rPr>
          <w:rFonts w:ascii="Times New Roman" w:eastAsia="Calibri" w:hAnsi="Times New Roman"/>
          <w:sz w:val="28"/>
          <w:szCs w:val="28"/>
          <w:lang w:eastAsia="en-US"/>
        </w:rPr>
      </w:pPr>
      <w:r w:rsidRPr="00A662F1">
        <w:rPr>
          <w:rFonts w:ascii="Times New Roman" w:eastAsia="Calibri" w:hAnsi="Times New Roman"/>
          <w:sz w:val="28"/>
          <w:szCs w:val="28"/>
          <w:lang w:eastAsia="en-US"/>
        </w:rPr>
        <w:t xml:space="preserve">Звільнення від оподаткування податком на додану вартість надається </w:t>
      </w:r>
      <w:r w:rsidR="00E568C4">
        <w:rPr>
          <w:rFonts w:ascii="Times New Roman" w:eastAsia="Calibri" w:hAnsi="Times New Roman"/>
          <w:sz w:val="28"/>
          <w:szCs w:val="28"/>
          <w:lang w:eastAsia="en-US"/>
        </w:rPr>
        <w:t xml:space="preserve">  </w:t>
      </w:r>
      <w:r w:rsidR="00943421">
        <w:rPr>
          <w:rFonts w:ascii="Times New Roman" w:eastAsia="Calibri" w:hAnsi="Times New Roman"/>
          <w:sz w:val="28"/>
          <w:szCs w:val="28"/>
          <w:lang w:eastAsia="en-US"/>
        </w:rPr>
        <w:t xml:space="preserve"> </w:t>
      </w:r>
      <w:r w:rsidR="00E568C4">
        <w:rPr>
          <w:rFonts w:ascii="Times New Roman" w:eastAsia="Calibri" w:hAnsi="Times New Roman"/>
          <w:sz w:val="28"/>
          <w:szCs w:val="28"/>
          <w:lang w:eastAsia="en-US"/>
        </w:rPr>
        <w:t xml:space="preserve">  </w:t>
      </w:r>
      <w:r w:rsidRPr="00A662F1">
        <w:rPr>
          <w:rFonts w:ascii="Times New Roman" w:eastAsia="Calibri" w:hAnsi="Times New Roman"/>
          <w:sz w:val="28"/>
          <w:szCs w:val="28"/>
          <w:lang w:eastAsia="en-US"/>
        </w:rPr>
        <w:t xml:space="preserve">в межах строку та обсягу надання державної підтримки, визначених </w:t>
      </w:r>
      <w:r w:rsidR="00E568C4">
        <w:rPr>
          <w:rFonts w:ascii="Times New Roman" w:eastAsia="Calibri" w:hAnsi="Times New Roman"/>
          <w:sz w:val="28"/>
          <w:szCs w:val="28"/>
          <w:lang w:eastAsia="en-US"/>
        </w:rPr>
        <w:t xml:space="preserve">                                 </w:t>
      </w:r>
      <w:r w:rsidRPr="00A662F1">
        <w:rPr>
          <w:rFonts w:ascii="Times New Roman" w:eastAsia="Calibri" w:hAnsi="Times New Roman"/>
          <w:sz w:val="28"/>
          <w:szCs w:val="28"/>
          <w:lang w:eastAsia="en-US"/>
        </w:rPr>
        <w:t>у спеціальному інвестиційному договорі</w:t>
      </w:r>
      <w:r w:rsidR="00817C93" w:rsidRPr="00A662F1">
        <w:rPr>
          <w:rFonts w:ascii="Times New Roman" w:eastAsia="Calibri" w:hAnsi="Times New Roman"/>
          <w:sz w:val="28"/>
          <w:szCs w:val="28"/>
          <w:lang w:eastAsia="en-US"/>
        </w:rPr>
        <w:t xml:space="preserve">, укладеному відповідно до Закону України </w:t>
      </w:r>
      <w:r w:rsidR="00A662F1">
        <w:rPr>
          <w:rFonts w:ascii="Times New Roman" w:eastAsia="Calibri" w:hAnsi="Times New Roman"/>
          <w:sz w:val="28"/>
          <w:szCs w:val="28"/>
          <w:lang w:eastAsia="en-US"/>
        </w:rPr>
        <w:t>"</w:t>
      </w:r>
      <w:r w:rsidR="00817C93" w:rsidRPr="00A662F1">
        <w:rPr>
          <w:rFonts w:ascii="Times New Roman" w:eastAsia="Calibri" w:hAnsi="Times New Roman"/>
          <w:sz w:val="28"/>
          <w:szCs w:val="28"/>
          <w:lang w:eastAsia="en-US"/>
        </w:rPr>
        <w:t>Про державну підтримку інвестиційних проектів зі значними інвестиціями</w:t>
      </w:r>
      <w:r w:rsidR="00A662F1">
        <w:rPr>
          <w:rFonts w:ascii="Times New Roman" w:eastAsia="Calibri" w:hAnsi="Times New Roman"/>
          <w:sz w:val="28"/>
          <w:szCs w:val="28"/>
          <w:lang w:eastAsia="en-US"/>
        </w:rPr>
        <w:t>"</w:t>
      </w:r>
      <w:r w:rsidRPr="00A662F1">
        <w:rPr>
          <w:rFonts w:ascii="Times New Roman" w:eastAsia="Calibri" w:hAnsi="Times New Roman"/>
          <w:sz w:val="28"/>
          <w:szCs w:val="28"/>
          <w:lang w:eastAsia="en-US"/>
        </w:rPr>
        <w:t>.</w:t>
      </w:r>
    </w:p>
    <w:p w:rsidR="00702A8C" w:rsidRPr="006B19C5" w:rsidRDefault="001955E8" w:rsidP="000B7086">
      <w:pPr>
        <w:pStyle w:val="a3"/>
        <w:widowControl w:val="0"/>
        <w:spacing w:before="0" w:after="120"/>
        <w:ind w:firstLine="709"/>
        <w:rPr>
          <w:rFonts w:ascii="Times New Roman" w:eastAsia="Calibri" w:hAnsi="Times New Roman"/>
          <w:sz w:val="28"/>
          <w:szCs w:val="28"/>
          <w:lang w:eastAsia="en-US"/>
        </w:rPr>
      </w:pPr>
      <w:bookmarkStart w:id="3" w:name="n4662"/>
      <w:bookmarkEnd w:id="3"/>
      <w:r w:rsidRPr="006B19C5">
        <w:rPr>
          <w:rFonts w:ascii="Times New Roman" w:eastAsia="Calibri" w:hAnsi="Times New Roman"/>
          <w:sz w:val="28"/>
          <w:szCs w:val="28"/>
          <w:lang w:eastAsia="en-US"/>
        </w:rPr>
        <w:t xml:space="preserve">У разі </w:t>
      </w:r>
      <w:r w:rsidR="00FA5900" w:rsidRPr="006B19C5">
        <w:rPr>
          <w:rFonts w:ascii="Times New Roman" w:eastAsia="Calibri" w:hAnsi="Times New Roman"/>
          <w:sz w:val="28"/>
          <w:szCs w:val="28"/>
          <w:lang w:eastAsia="en-US"/>
        </w:rPr>
        <w:t>відчуженн</w:t>
      </w:r>
      <w:r w:rsidRPr="006B19C5">
        <w:rPr>
          <w:rFonts w:ascii="Times New Roman" w:eastAsia="Calibri" w:hAnsi="Times New Roman"/>
          <w:sz w:val="28"/>
          <w:szCs w:val="28"/>
          <w:lang w:eastAsia="en-US"/>
        </w:rPr>
        <w:t>я</w:t>
      </w:r>
      <w:r w:rsidR="00FA5900" w:rsidRPr="006B19C5">
        <w:rPr>
          <w:rFonts w:ascii="Times New Roman" w:eastAsia="Calibri" w:hAnsi="Times New Roman"/>
          <w:sz w:val="28"/>
          <w:szCs w:val="28"/>
          <w:lang w:eastAsia="en-US"/>
        </w:rPr>
        <w:t xml:space="preserve"> таких товарів раніше п</w:t>
      </w:r>
      <w:r w:rsidR="00B514D3" w:rsidRPr="006B19C5">
        <w:rPr>
          <w:rFonts w:ascii="Times New Roman" w:eastAsia="Calibri" w:hAnsi="Times New Roman"/>
          <w:sz w:val="28"/>
          <w:szCs w:val="28"/>
          <w:lang w:eastAsia="en-US"/>
        </w:rPr>
        <w:t>'</w:t>
      </w:r>
      <w:r w:rsidR="00FA5900" w:rsidRPr="006B19C5">
        <w:rPr>
          <w:rFonts w:ascii="Times New Roman" w:eastAsia="Calibri" w:hAnsi="Times New Roman"/>
          <w:sz w:val="28"/>
          <w:szCs w:val="28"/>
          <w:lang w:eastAsia="en-US"/>
        </w:rPr>
        <w:t xml:space="preserve">яти років з </w:t>
      </w:r>
      <w:r w:rsidR="00943421" w:rsidRPr="006B19C5">
        <w:rPr>
          <w:rFonts w:ascii="Times New Roman" w:eastAsia="Calibri" w:hAnsi="Times New Roman"/>
          <w:sz w:val="28"/>
          <w:szCs w:val="28"/>
          <w:lang w:eastAsia="en-US"/>
        </w:rPr>
        <w:t xml:space="preserve">дати </w:t>
      </w:r>
      <w:r w:rsidR="00FA5900" w:rsidRPr="006B19C5">
        <w:rPr>
          <w:rFonts w:ascii="Times New Roman" w:eastAsia="Calibri" w:hAnsi="Times New Roman"/>
          <w:sz w:val="28"/>
          <w:szCs w:val="28"/>
          <w:lang w:eastAsia="en-US"/>
        </w:rPr>
        <w:t xml:space="preserve">зарахування їх на баланс </w:t>
      </w:r>
      <w:r w:rsidR="00575901" w:rsidRPr="006B19C5">
        <w:rPr>
          <w:rFonts w:ascii="Times New Roman" w:eastAsia="Calibri" w:hAnsi="Times New Roman"/>
          <w:sz w:val="28"/>
          <w:szCs w:val="28"/>
          <w:lang w:eastAsia="en-US"/>
        </w:rPr>
        <w:t>чи у разі дострокового припинення спеціального інвестиційного договору у зв</w:t>
      </w:r>
      <w:r w:rsidR="000B7086" w:rsidRPr="006B19C5">
        <w:rPr>
          <w:rFonts w:ascii="Times New Roman" w:eastAsia="Calibri" w:hAnsi="Times New Roman"/>
          <w:sz w:val="28"/>
          <w:szCs w:val="28"/>
          <w:lang w:eastAsia="en-US"/>
        </w:rPr>
        <w:t>'</w:t>
      </w:r>
      <w:r w:rsidR="00575901" w:rsidRPr="006B19C5">
        <w:rPr>
          <w:rFonts w:ascii="Times New Roman" w:eastAsia="Calibri" w:hAnsi="Times New Roman"/>
          <w:sz w:val="28"/>
          <w:szCs w:val="28"/>
          <w:lang w:eastAsia="en-US"/>
        </w:rPr>
        <w:t>язку із невиконанням інвестором зі значними інвестиціями зобов</w:t>
      </w:r>
      <w:r w:rsidR="000B7086" w:rsidRPr="006B19C5">
        <w:rPr>
          <w:rFonts w:ascii="Times New Roman" w:eastAsia="Calibri" w:hAnsi="Times New Roman"/>
          <w:sz w:val="28"/>
          <w:szCs w:val="28"/>
          <w:lang w:eastAsia="en-US"/>
        </w:rPr>
        <w:t>'</w:t>
      </w:r>
      <w:r w:rsidR="00575901" w:rsidRPr="006B19C5">
        <w:rPr>
          <w:rFonts w:ascii="Times New Roman" w:eastAsia="Calibri" w:hAnsi="Times New Roman"/>
          <w:sz w:val="28"/>
          <w:szCs w:val="28"/>
          <w:lang w:eastAsia="en-US"/>
        </w:rPr>
        <w:t>язань щодо обсягу інвестицій в об</w:t>
      </w:r>
      <w:r w:rsidR="00943421" w:rsidRPr="006B19C5">
        <w:rPr>
          <w:rFonts w:ascii="Times New Roman" w:eastAsia="Calibri" w:hAnsi="Times New Roman"/>
          <w:sz w:val="28"/>
          <w:szCs w:val="28"/>
          <w:lang w:eastAsia="en-US"/>
        </w:rPr>
        <w:t>'</w:t>
      </w:r>
      <w:r w:rsidR="00575901" w:rsidRPr="006B19C5">
        <w:rPr>
          <w:rFonts w:ascii="Times New Roman" w:eastAsia="Calibri" w:hAnsi="Times New Roman"/>
          <w:sz w:val="28"/>
          <w:szCs w:val="28"/>
          <w:lang w:eastAsia="en-US"/>
        </w:rPr>
        <w:t>єкти інвестування і строку реалізації інвестиційного проекту зі значними інвестиціями, встановлених спеціальним інвестиційним договором (крім випадків невиконання взятих на себе державою зобов</w:t>
      </w:r>
      <w:r w:rsidR="00943421" w:rsidRPr="006B19C5">
        <w:rPr>
          <w:rFonts w:ascii="Times New Roman" w:eastAsia="Calibri" w:hAnsi="Times New Roman"/>
          <w:sz w:val="28"/>
          <w:szCs w:val="28"/>
          <w:lang w:eastAsia="en-US"/>
        </w:rPr>
        <w:t>'</w:t>
      </w:r>
      <w:r w:rsidR="00575901" w:rsidRPr="006B19C5">
        <w:rPr>
          <w:rFonts w:ascii="Times New Roman" w:eastAsia="Calibri" w:hAnsi="Times New Roman"/>
          <w:sz w:val="28"/>
          <w:szCs w:val="28"/>
          <w:lang w:eastAsia="en-US"/>
        </w:rPr>
        <w:t xml:space="preserve">язань щодо надання державної підтримки за спеціальним інвестиційним договором або настання форс-мажорних обставин (обставин непереборної сили), платник </w:t>
      </w:r>
      <w:r w:rsidR="00702A8C" w:rsidRPr="006B19C5">
        <w:rPr>
          <w:rFonts w:ascii="Times New Roman" w:eastAsia="Calibri" w:hAnsi="Times New Roman"/>
          <w:sz w:val="28"/>
          <w:szCs w:val="28"/>
          <w:lang w:eastAsia="en-US"/>
        </w:rPr>
        <w:t>податку збільшує податкові зобов</w:t>
      </w:r>
      <w:r w:rsidR="00943421" w:rsidRPr="006B19C5">
        <w:rPr>
          <w:rFonts w:ascii="Times New Roman" w:eastAsia="Calibri" w:hAnsi="Times New Roman"/>
          <w:sz w:val="28"/>
          <w:szCs w:val="28"/>
          <w:lang w:eastAsia="en-US"/>
        </w:rPr>
        <w:t>'</w:t>
      </w:r>
      <w:r w:rsidR="00702A8C" w:rsidRPr="006B19C5">
        <w:rPr>
          <w:rFonts w:ascii="Times New Roman" w:eastAsia="Calibri" w:hAnsi="Times New Roman"/>
          <w:sz w:val="28"/>
          <w:szCs w:val="28"/>
          <w:lang w:eastAsia="en-US"/>
        </w:rPr>
        <w:t>язання за результатами податкового періоду, на який припадає так</w:t>
      </w:r>
      <w:r w:rsidR="00943421" w:rsidRPr="006B19C5">
        <w:rPr>
          <w:rFonts w:ascii="Times New Roman" w:eastAsia="Calibri" w:hAnsi="Times New Roman"/>
          <w:sz w:val="28"/>
          <w:szCs w:val="28"/>
          <w:lang w:eastAsia="en-US"/>
        </w:rPr>
        <w:t>е</w:t>
      </w:r>
      <w:r w:rsidR="00702A8C" w:rsidRPr="006B19C5">
        <w:rPr>
          <w:rFonts w:ascii="Times New Roman" w:eastAsia="Calibri" w:hAnsi="Times New Roman"/>
          <w:sz w:val="28"/>
          <w:szCs w:val="28"/>
          <w:lang w:eastAsia="en-US"/>
        </w:rPr>
        <w:t xml:space="preserve"> відчуження</w:t>
      </w:r>
      <w:r w:rsidR="00575901" w:rsidRPr="006B19C5">
        <w:rPr>
          <w:rFonts w:ascii="Times New Roman" w:eastAsia="Calibri" w:hAnsi="Times New Roman"/>
          <w:sz w:val="28"/>
          <w:szCs w:val="28"/>
          <w:lang w:eastAsia="en-US"/>
        </w:rPr>
        <w:t xml:space="preserve"> чи дострокове розірвання</w:t>
      </w:r>
      <w:r w:rsidR="00702A8C" w:rsidRPr="006B19C5">
        <w:rPr>
          <w:rFonts w:ascii="Times New Roman" w:eastAsia="Calibri" w:hAnsi="Times New Roman"/>
          <w:sz w:val="28"/>
          <w:szCs w:val="28"/>
          <w:lang w:eastAsia="en-US"/>
        </w:rPr>
        <w:t>, на суму податку на додану вартість, що мала бути сплачена в момент імпорту таких товарів, а також зобов</w:t>
      </w:r>
      <w:r w:rsidR="00B514D3" w:rsidRPr="006B19C5">
        <w:rPr>
          <w:rFonts w:ascii="Times New Roman" w:eastAsia="Calibri" w:hAnsi="Times New Roman"/>
          <w:sz w:val="28"/>
          <w:szCs w:val="28"/>
          <w:lang w:eastAsia="en-US"/>
        </w:rPr>
        <w:t>'</w:t>
      </w:r>
      <w:r w:rsidR="00702A8C" w:rsidRPr="006B19C5">
        <w:rPr>
          <w:rFonts w:ascii="Times New Roman" w:eastAsia="Calibri" w:hAnsi="Times New Roman"/>
          <w:sz w:val="28"/>
          <w:szCs w:val="28"/>
          <w:lang w:eastAsia="en-US"/>
        </w:rPr>
        <w:t>язаний сплатити пеню відповідно до цього Кодексу</w:t>
      </w:r>
      <w:r w:rsidR="00685C85" w:rsidRPr="006B19C5">
        <w:rPr>
          <w:rFonts w:ascii="Times New Roman" w:eastAsia="Calibri" w:hAnsi="Times New Roman"/>
          <w:sz w:val="28"/>
          <w:szCs w:val="28"/>
          <w:lang w:eastAsia="en-US"/>
        </w:rPr>
        <w:t>. При цьому встановлені</w:t>
      </w:r>
      <w:r w:rsidR="00B514D3" w:rsidRPr="006B19C5">
        <w:rPr>
          <w:rFonts w:ascii="Times New Roman" w:eastAsia="Calibri" w:hAnsi="Times New Roman"/>
          <w:sz w:val="28"/>
          <w:szCs w:val="28"/>
          <w:lang w:eastAsia="en-US"/>
        </w:rPr>
        <w:t xml:space="preserve"> </w:t>
      </w:r>
      <w:hyperlink r:id="rId10" w:anchor="n2287" w:history="1">
        <w:r w:rsidR="00685C85" w:rsidRPr="006B19C5">
          <w:rPr>
            <w:rFonts w:ascii="Times New Roman" w:eastAsia="Calibri" w:hAnsi="Times New Roman"/>
            <w:sz w:val="28"/>
            <w:szCs w:val="28"/>
            <w:lang w:eastAsia="en-US"/>
          </w:rPr>
          <w:t>статтею 102</w:t>
        </w:r>
      </w:hyperlink>
      <w:r w:rsidR="00B514D3" w:rsidRPr="006B19C5">
        <w:rPr>
          <w:rFonts w:ascii="Times New Roman" w:eastAsia="Calibri" w:hAnsi="Times New Roman"/>
          <w:sz w:val="28"/>
          <w:szCs w:val="28"/>
          <w:lang w:eastAsia="en-US"/>
        </w:rPr>
        <w:t xml:space="preserve"> </w:t>
      </w:r>
      <w:r w:rsidR="00685C85" w:rsidRPr="006B19C5">
        <w:rPr>
          <w:rFonts w:ascii="Times New Roman" w:eastAsia="Calibri" w:hAnsi="Times New Roman"/>
          <w:sz w:val="28"/>
          <w:szCs w:val="28"/>
          <w:lang w:eastAsia="en-US"/>
        </w:rPr>
        <w:t>цього Кодексу строки давності не застосовуються</w:t>
      </w:r>
      <w:r w:rsidR="00B514D3" w:rsidRPr="006B19C5">
        <w:rPr>
          <w:rFonts w:ascii="Times New Roman" w:eastAsia="Calibri" w:hAnsi="Times New Roman"/>
          <w:sz w:val="28"/>
          <w:szCs w:val="28"/>
          <w:lang w:eastAsia="en-US"/>
        </w:rPr>
        <w:t>";</w:t>
      </w:r>
    </w:p>
    <w:p w:rsidR="000B7086" w:rsidRPr="006B19C5" w:rsidRDefault="000B7086" w:rsidP="00B514D3">
      <w:pPr>
        <w:pStyle w:val="a3"/>
        <w:widowControl w:val="0"/>
        <w:ind w:firstLine="709"/>
        <w:rPr>
          <w:rFonts w:ascii="Times New Roman" w:eastAsia="Calibri" w:hAnsi="Times New Roman"/>
          <w:sz w:val="28"/>
          <w:szCs w:val="28"/>
          <w:lang w:eastAsia="en-US"/>
        </w:rPr>
      </w:pPr>
    </w:p>
    <w:p w:rsidR="00FF79F3" w:rsidRPr="006B19C5" w:rsidRDefault="00B514D3" w:rsidP="000B7086">
      <w:pPr>
        <w:pStyle w:val="a3"/>
        <w:widowControl w:val="0"/>
        <w:spacing w:before="0"/>
        <w:ind w:firstLine="709"/>
        <w:rPr>
          <w:rFonts w:ascii="Times New Roman" w:eastAsia="Calibri" w:hAnsi="Times New Roman"/>
          <w:sz w:val="28"/>
          <w:szCs w:val="28"/>
          <w:lang w:eastAsia="en-US"/>
        </w:rPr>
      </w:pPr>
      <w:r w:rsidRPr="006B19C5">
        <w:rPr>
          <w:rFonts w:ascii="Times New Roman" w:eastAsia="Calibri" w:hAnsi="Times New Roman"/>
          <w:sz w:val="28"/>
          <w:szCs w:val="28"/>
          <w:lang w:eastAsia="en-US"/>
        </w:rPr>
        <w:lastRenderedPageBreak/>
        <w:t>2)</w:t>
      </w:r>
      <w:r w:rsidR="00FF79F3" w:rsidRPr="006B19C5">
        <w:rPr>
          <w:rFonts w:ascii="Times New Roman" w:eastAsia="Calibri" w:hAnsi="Times New Roman"/>
          <w:sz w:val="28"/>
          <w:szCs w:val="28"/>
          <w:lang w:eastAsia="en-US"/>
        </w:rPr>
        <w:t xml:space="preserve"> </w:t>
      </w:r>
      <w:hyperlink r:id="rId11" w:anchor="n8221" w:tgtFrame="_blank" w:history="1">
        <w:r w:rsidRPr="006B19C5">
          <w:rPr>
            <w:rFonts w:ascii="Times New Roman" w:eastAsia="Calibri" w:hAnsi="Times New Roman"/>
            <w:sz w:val="28"/>
            <w:szCs w:val="28"/>
            <w:lang w:eastAsia="en-US"/>
          </w:rPr>
          <w:t>п</w:t>
        </w:r>
        <w:r w:rsidR="00FF79F3" w:rsidRPr="006B19C5">
          <w:rPr>
            <w:rFonts w:ascii="Times New Roman" w:eastAsia="Calibri" w:hAnsi="Times New Roman"/>
            <w:sz w:val="28"/>
            <w:szCs w:val="28"/>
            <w:lang w:eastAsia="en-US"/>
          </w:rPr>
          <w:t>ідрозділ 4</w:t>
        </w:r>
      </w:hyperlink>
      <w:r w:rsidRPr="006B19C5">
        <w:rPr>
          <w:rFonts w:ascii="Times New Roman" w:eastAsia="Calibri" w:hAnsi="Times New Roman"/>
          <w:sz w:val="28"/>
          <w:szCs w:val="28"/>
          <w:lang w:eastAsia="en-US"/>
        </w:rPr>
        <w:t xml:space="preserve"> </w:t>
      </w:r>
      <w:r w:rsidR="00FF79F3" w:rsidRPr="006B19C5">
        <w:rPr>
          <w:rFonts w:ascii="Times New Roman" w:eastAsia="Calibri" w:hAnsi="Times New Roman"/>
          <w:sz w:val="28"/>
          <w:szCs w:val="28"/>
          <w:lang w:eastAsia="en-US"/>
        </w:rPr>
        <w:t>доповнити пунктом 51</w:t>
      </w:r>
      <w:r w:rsidR="00E568C4" w:rsidRPr="006B19C5">
        <w:rPr>
          <w:rFonts w:ascii="Times New Roman" w:eastAsia="Calibri" w:hAnsi="Times New Roman"/>
          <w:sz w:val="28"/>
          <w:szCs w:val="28"/>
          <w:lang w:eastAsia="en-US"/>
        </w:rPr>
        <w:t>-4</w:t>
      </w:r>
      <w:r w:rsidR="00FF79F3" w:rsidRPr="006B19C5">
        <w:rPr>
          <w:rFonts w:ascii="Times New Roman" w:eastAsia="Calibri" w:hAnsi="Times New Roman"/>
          <w:sz w:val="28"/>
          <w:szCs w:val="28"/>
          <w:lang w:eastAsia="en-US"/>
        </w:rPr>
        <w:t xml:space="preserve"> такого змісту:</w:t>
      </w:r>
    </w:p>
    <w:p w:rsidR="00FF79F3" w:rsidRPr="006B19C5" w:rsidRDefault="00B514D3" w:rsidP="000B7086">
      <w:pPr>
        <w:pStyle w:val="a3"/>
        <w:widowControl w:val="0"/>
        <w:ind w:firstLine="709"/>
        <w:rPr>
          <w:rFonts w:ascii="Times New Roman" w:eastAsia="Calibri" w:hAnsi="Times New Roman"/>
          <w:sz w:val="28"/>
          <w:szCs w:val="28"/>
          <w:lang w:eastAsia="en-US"/>
        </w:rPr>
      </w:pPr>
      <w:r w:rsidRPr="006B19C5">
        <w:rPr>
          <w:rFonts w:ascii="Times New Roman" w:eastAsia="Calibri" w:hAnsi="Times New Roman"/>
          <w:sz w:val="28"/>
          <w:szCs w:val="28"/>
          <w:lang w:eastAsia="en-US"/>
        </w:rPr>
        <w:t>"</w:t>
      </w:r>
      <w:r w:rsidR="00FF79F3" w:rsidRPr="006B19C5">
        <w:rPr>
          <w:rFonts w:ascii="Times New Roman" w:eastAsia="Calibri" w:hAnsi="Times New Roman"/>
          <w:sz w:val="28"/>
          <w:szCs w:val="28"/>
          <w:lang w:eastAsia="en-US"/>
        </w:rPr>
        <w:t>51</w:t>
      </w:r>
      <w:r w:rsidR="00E568C4" w:rsidRPr="006B19C5">
        <w:rPr>
          <w:rFonts w:ascii="Times New Roman" w:eastAsia="Calibri" w:hAnsi="Times New Roman"/>
          <w:sz w:val="28"/>
          <w:szCs w:val="28"/>
          <w:lang w:eastAsia="en-US"/>
        </w:rPr>
        <w:t>-4</w:t>
      </w:r>
      <w:r w:rsidR="00FF79F3" w:rsidRPr="006B19C5">
        <w:rPr>
          <w:rFonts w:ascii="Times New Roman" w:eastAsia="Calibri" w:hAnsi="Times New Roman"/>
          <w:sz w:val="28"/>
          <w:szCs w:val="28"/>
          <w:lang w:eastAsia="en-US"/>
        </w:rPr>
        <w:t xml:space="preserve">. Тимчасово, до 1 січня 2035 року, застосовуються особливості оподаткування прибутку підприємства – інвестора зі значними інвестиціями, який є стороною спеціального інвестиційного договору, укладеного відповідно до Закону України </w:t>
      </w:r>
      <w:r w:rsidRPr="006B19C5">
        <w:rPr>
          <w:rFonts w:ascii="Times New Roman" w:eastAsia="Calibri" w:hAnsi="Times New Roman"/>
          <w:sz w:val="28"/>
          <w:szCs w:val="28"/>
          <w:lang w:eastAsia="en-US"/>
        </w:rPr>
        <w:t>"</w:t>
      </w:r>
      <w:r w:rsidR="00FF79F3" w:rsidRPr="006B19C5">
        <w:rPr>
          <w:rFonts w:ascii="Times New Roman" w:eastAsia="Calibri" w:hAnsi="Times New Roman"/>
          <w:sz w:val="28"/>
          <w:szCs w:val="28"/>
          <w:lang w:eastAsia="en-US"/>
        </w:rPr>
        <w:t>Про державну підтримку інвестиційних проектів зі значними інвестиціями</w:t>
      </w:r>
      <w:r w:rsidRPr="006B19C5">
        <w:rPr>
          <w:rFonts w:ascii="Times New Roman" w:eastAsia="Calibri" w:hAnsi="Times New Roman"/>
          <w:sz w:val="28"/>
          <w:szCs w:val="28"/>
          <w:lang w:eastAsia="en-US"/>
        </w:rPr>
        <w:t>"</w:t>
      </w:r>
      <w:r w:rsidR="00FF79F3" w:rsidRPr="006B19C5">
        <w:rPr>
          <w:rFonts w:ascii="Times New Roman" w:eastAsia="Calibri" w:hAnsi="Times New Roman"/>
          <w:sz w:val="28"/>
          <w:szCs w:val="28"/>
          <w:lang w:eastAsia="en-US"/>
        </w:rPr>
        <w:t>, за умови, що такий прибуток отриманий внаслідок виконання такого спеціального інвестиційного договору.</w:t>
      </w:r>
    </w:p>
    <w:p w:rsidR="00FF79F3" w:rsidRPr="006B19C5" w:rsidRDefault="00FF79F3" w:rsidP="000B7086">
      <w:pPr>
        <w:pStyle w:val="a3"/>
        <w:widowControl w:val="0"/>
        <w:ind w:firstLine="709"/>
        <w:rPr>
          <w:rFonts w:ascii="Times New Roman" w:eastAsia="Calibri" w:hAnsi="Times New Roman"/>
          <w:sz w:val="28"/>
          <w:szCs w:val="28"/>
          <w:lang w:eastAsia="en-US"/>
        </w:rPr>
      </w:pPr>
      <w:r w:rsidRPr="006B19C5">
        <w:rPr>
          <w:rFonts w:ascii="Times New Roman" w:eastAsia="Calibri" w:hAnsi="Times New Roman"/>
          <w:sz w:val="28"/>
          <w:szCs w:val="28"/>
          <w:lang w:eastAsia="en-US"/>
        </w:rPr>
        <w:t xml:space="preserve">Терміни </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інвестор зі значними інвестиціями</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 xml:space="preserve">, </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інвестиційний проект зі значними інвестиціями</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 xml:space="preserve">, </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спеціальний інвестиційний договір</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 xml:space="preserve"> вживаються </w:t>
      </w:r>
      <w:r w:rsidR="00B514D3" w:rsidRPr="006B19C5">
        <w:rPr>
          <w:rFonts w:ascii="Times New Roman" w:eastAsia="Calibri" w:hAnsi="Times New Roman"/>
          <w:sz w:val="28"/>
          <w:szCs w:val="28"/>
          <w:lang w:eastAsia="en-US"/>
        </w:rPr>
        <w:t xml:space="preserve">                   </w:t>
      </w:r>
      <w:r w:rsidRPr="006B19C5">
        <w:rPr>
          <w:rFonts w:ascii="Times New Roman" w:eastAsia="Calibri" w:hAnsi="Times New Roman"/>
          <w:sz w:val="28"/>
          <w:szCs w:val="28"/>
          <w:lang w:eastAsia="en-US"/>
        </w:rPr>
        <w:t xml:space="preserve">у значенні, наведеному у Законі України </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Про державну підтримку інвестиційних проектів зі значними інвестиціями</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w:t>
      </w:r>
    </w:p>
    <w:p w:rsidR="00FF79F3" w:rsidRPr="006B19C5" w:rsidRDefault="00FF79F3" w:rsidP="000B7086">
      <w:pPr>
        <w:widowControl w:val="0"/>
        <w:shd w:val="clear" w:color="auto" w:fill="FFFFFF"/>
        <w:spacing w:before="120"/>
        <w:ind w:firstLine="709"/>
        <w:jc w:val="both"/>
        <w:rPr>
          <w:rFonts w:eastAsia="Calibri"/>
          <w:sz w:val="28"/>
          <w:szCs w:val="28"/>
          <w:lang w:val="uk-UA" w:eastAsia="en-US"/>
        </w:rPr>
      </w:pPr>
      <w:r w:rsidRPr="006B19C5">
        <w:rPr>
          <w:rFonts w:eastAsia="Calibri"/>
          <w:sz w:val="28"/>
          <w:szCs w:val="28"/>
          <w:lang w:val="uk-UA" w:eastAsia="en-US"/>
        </w:rPr>
        <w:t>Зазначений у абзаці першому цього пункту прибуток підприємства – інвестора зі значними інвестиціями звільняється від оподаткування податком на прибуток підприємств протягом п</w:t>
      </w:r>
      <w:r w:rsidR="00B514D3" w:rsidRPr="006B19C5">
        <w:rPr>
          <w:rFonts w:eastAsia="Calibri"/>
          <w:sz w:val="28"/>
          <w:szCs w:val="28"/>
          <w:lang w:val="uk-UA" w:eastAsia="en-US"/>
        </w:rPr>
        <w:t>'</w:t>
      </w:r>
      <w:r w:rsidRPr="006B19C5">
        <w:rPr>
          <w:rFonts w:eastAsia="Calibri"/>
          <w:sz w:val="28"/>
          <w:szCs w:val="28"/>
          <w:lang w:val="uk-UA" w:eastAsia="en-US"/>
        </w:rPr>
        <w:t xml:space="preserve">яти послідовних років, починаючи </w:t>
      </w:r>
      <w:r w:rsidR="00E568C4" w:rsidRPr="006B19C5">
        <w:rPr>
          <w:rFonts w:eastAsia="Calibri"/>
          <w:sz w:val="28"/>
          <w:szCs w:val="28"/>
          <w:lang w:val="uk-UA" w:eastAsia="en-US"/>
        </w:rPr>
        <w:t xml:space="preserve">                        </w:t>
      </w:r>
      <w:r w:rsidRPr="006B19C5">
        <w:rPr>
          <w:rFonts w:eastAsia="Calibri"/>
          <w:sz w:val="28"/>
          <w:szCs w:val="28"/>
          <w:lang w:val="uk-UA" w:eastAsia="en-US"/>
        </w:rPr>
        <w:t xml:space="preserve">з першого числа місяця календарного кварталу, який визначено платником податку – інвестором зі значними інвестиціями у поданій ним до контролюючого органу за місцем реєстрації такого платника податку </w:t>
      </w:r>
      <w:r w:rsidR="00E568C4" w:rsidRPr="006B19C5">
        <w:rPr>
          <w:rFonts w:eastAsia="Calibri"/>
          <w:sz w:val="28"/>
          <w:szCs w:val="28"/>
          <w:lang w:val="uk-UA" w:eastAsia="en-US"/>
        </w:rPr>
        <w:t xml:space="preserve">                                                </w:t>
      </w:r>
      <w:r w:rsidRPr="006B19C5">
        <w:rPr>
          <w:rFonts w:eastAsia="Calibri"/>
          <w:sz w:val="28"/>
          <w:szCs w:val="28"/>
          <w:lang w:val="uk-UA" w:eastAsia="en-US"/>
        </w:rPr>
        <w:t>у довільній формі заяві про використання права на застосування передбаченого цим пунктом звільнення, але не раніше дати подання такої заяви та дати введення в експлуатацію об</w:t>
      </w:r>
      <w:r w:rsidR="00B514D3" w:rsidRPr="006B19C5">
        <w:rPr>
          <w:rFonts w:eastAsia="Calibri"/>
          <w:sz w:val="28"/>
          <w:szCs w:val="28"/>
          <w:lang w:val="uk-UA" w:eastAsia="en-US"/>
        </w:rPr>
        <w:t>'</w:t>
      </w:r>
      <w:r w:rsidRPr="006B19C5">
        <w:rPr>
          <w:rFonts w:eastAsia="Calibri"/>
          <w:sz w:val="28"/>
          <w:szCs w:val="28"/>
          <w:lang w:val="uk-UA" w:eastAsia="en-US"/>
        </w:rPr>
        <w:t>єкт</w:t>
      </w:r>
      <w:r w:rsidR="00943421" w:rsidRPr="006B19C5">
        <w:rPr>
          <w:rFonts w:eastAsia="Calibri"/>
          <w:sz w:val="28"/>
          <w:szCs w:val="28"/>
          <w:lang w:val="uk-UA" w:eastAsia="en-US"/>
        </w:rPr>
        <w:t>а</w:t>
      </w:r>
      <w:r w:rsidRPr="006B19C5">
        <w:rPr>
          <w:rFonts w:eastAsia="Calibri"/>
          <w:sz w:val="28"/>
          <w:szCs w:val="28"/>
          <w:lang w:val="uk-UA" w:eastAsia="en-US"/>
        </w:rPr>
        <w:t>, побудованого (щодо якого здійснено реконструкцію, реставрацію, капітальний ремонт) в рамках реалізації інвестиційного проекту зі значними інвестиціями та за умови виконання платником податку – інвестором зі значними інвестиціями своїх зобов'язань за спеціальним інвестиційним договором. При цьому період застосування такого звільнення не може перевищувати строку дії спеціального інвестиційного договору.</w:t>
      </w:r>
    </w:p>
    <w:p w:rsidR="00FF79F3" w:rsidRPr="006B19C5" w:rsidRDefault="00FF79F3" w:rsidP="000B7086">
      <w:pPr>
        <w:pStyle w:val="a3"/>
        <w:widowControl w:val="0"/>
        <w:ind w:firstLine="709"/>
        <w:rPr>
          <w:rFonts w:ascii="Times New Roman" w:eastAsia="Calibri" w:hAnsi="Times New Roman"/>
          <w:sz w:val="28"/>
          <w:szCs w:val="28"/>
          <w:lang w:eastAsia="en-US"/>
        </w:rPr>
      </w:pPr>
      <w:r w:rsidRPr="006B19C5">
        <w:rPr>
          <w:rFonts w:ascii="Times New Roman" w:eastAsia="Calibri" w:hAnsi="Times New Roman"/>
          <w:sz w:val="28"/>
          <w:szCs w:val="28"/>
          <w:lang w:eastAsia="en-US"/>
        </w:rPr>
        <w:t xml:space="preserve">Загальна сума вивільнених від оподаткування коштів (сум податку, що не сплачуються до бюджету та залишаються у розпорядженні платника податку – інвестора зі значними інвестиціями) враховується у складі сукупного обсягу передбаченої спеціальним інвестиційним договором державної підтримки інвестиційного проекту зі значними інвестиціями, яка надається відповідно до Закону України </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Про державну підтримку інвестиційних проектів зі значними інвестиціями</w:t>
      </w:r>
      <w:r w:rsidR="00B514D3" w:rsidRPr="006B19C5">
        <w:rPr>
          <w:rFonts w:ascii="Times New Roman" w:eastAsia="Calibri" w:hAnsi="Times New Roman"/>
          <w:sz w:val="28"/>
          <w:szCs w:val="28"/>
          <w:lang w:eastAsia="en-US"/>
        </w:rPr>
        <w:t>"</w:t>
      </w:r>
      <w:r w:rsidR="00B16040" w:rsidRPr="006B19C5">
        <w:rPr>
          <w:rFonts w:ascii="Times New Roman" w:eastAsia="Calibri" w:hAnsi="Times New Roman"/>
          <w:sz w:val="28"/>
          <w:szCs w:val="28"/>
          <w:lang w:eastAsia="en-US"/>
        </w:rPr>
        <w:t>.</w:t>
      </w:r>
    </w:p>
    <w:p w:rsidR="00FF79F3" w:rsidRPr="006B19C5" w:rsidRDefault="00B514D3" w:rsidP="000B7086">
      <w:pPr>
        <w:pStyle w:val="a3"/>
        <w:widowControl w:val="0"/>
        <w:ind w:firstLine="709"/>
        <w:rPr>
          <w:rFonts w:ascii="Times New Roman" w:eastAsia="Calibri" w:hAnsi="Times New Roman"/>
          <w:sz w:val="28"/>
          <w:szCs w:val="28"/>
          <w:lang w:eastAsia="en-US"/>
        </w:rPr>
      </w:pPr>
      <w:r w:rsidRPr="006B19C5">
        <w:rPr>
          <w:rFonts w:ascii="Times New Roman" w:eastAsia="Calibri" w:hAnsi="Times New Roman"/>
          <w:sz w:val="28"/>
          <w:szCs w:val="28"/>
          <w:lang w:eastAsia="en-US"/>
        </w:rPr>
        <w:t>У разі перевищення у зв'</w:t>
      </w:r>
      <w:r w:rsidR="00FF79F3" w:rsidRPr="006B19C5">
        <w:rPr>
          <w:rFonts w:ascii="Times New Roman" w:eastAsia="Calibri" w:hAnsi="Times New Roman"/>
          <w:sz w:val="28"/>
          <w:szCs w:val="28"/>
          <w:lang w:eastAsia="en-US"/>
        </w:rPr>
        <w:t xml:space="preserve">язку із застосуванням звільнення, передбаченого цим пунктом, загального обсягу державної підтримки, отриманої платником податку – інвестором зі значними інвестиціями відповідно до Закону України </w:t>
      </w:r>
      <w:r w:rsidRPr="006B19C5">
        <w:rPr>
          <w:rFonts w:ascii="Times New Roman" w:eastAsia="Calibri" w:hAnsi="Times New Roman"/>
          <w:sz w:val="28"/>
          <w:szCs w:val="28"/>
          <w:lang w:eastAsia="en-US"/>
        </w:rPr>
        <w:t>"</w:t>
      </w:r>
      <w:r w:rsidR="00FF79F3" w:rsidRPr="006B19C5">
        <w:rPr>
          <w:rFonts w:ascii="Times New Roman" w:eastAsia="Calibri" w:hAnsi="Times New Roman"/>
          <w:sz w:val="28"/>
          <w:szCs w:val="28"/>
          <w:lang w:eastAsia="en-US"/>
        </w:rPr>
        <w:t>Про державну підтримку інвестиційних проектів зі значними інвестиціями</w:t>
      </w:r>
      <w:r w:rsidRPr="006B19C5">
        <w:rPr>
          <w:rFonts w:ascii="Times New Roman" w:eastAsia="Calibri" w:hAnsi="Times New Roman"/>
          <w:sz w:val="28"/>
          <w:szCs w:val="28"/>
          <w:lang w:eastAsia="en-US"/>
        </w:rPr>
        <w:t>"</w:t>
      </w:r>
      <w:r w:rsidR="00B16040" w:rsidRPr="006B19C5">
        <w:rPr>
          <w:rFonts w:ascii="Times New Roman" w:eastAsia="Calibri" w:hAnsi="Times New Roman"/>
          <w:sz w:val="28"/>
          <w:szCs w:val="28"/>
          <w:lang w:eastAsia="en-US"/>
        </w:rPr>
        <w:t>,</w:t>
      </w:r>
      <w:r w:rsidR="00FF79F3" w:rsidRPr="006B19C5">
        <w:rPr>
          <w:rFonts w:ascii="Times New Roman" w:eastAsia="Calibri" w:hAnsi="Times New Roman"/>
          <w:sz w:val="28"/>
          <w:szCs w:val="28"/>
          <w:lang w:eastAsia="en-US"/>
        </w:rPr>
        <w:t xml:space="preserve"> над встановленим відповідно до такого Закону обмеженням щодо загального обсягу державної підтримки інвестиційного проекту зі значними інвестиціями, платник податку зобов</w:t>
      </w:r>
      <w:r w:rsidRPr="006B19C5">
        <w:rPr>
          <w:rFonts w:ascii="Times New Roman" w:eastAsia="Calibri" w:hAnsi="Times New Roman"/>
          <w:sz w:val="28"/>
          <w:szCs w:val="28"/>
          <w:lang w:eastAsia="en-US"/>
        </w:rPr>
        <w:t>'</w:t>
      </w:r>
      <w:r w:rsidR="00FF79F3" w:rsidRPr="006B19C5">
        <w:rPr>
          <w:rFonts w:ascii="Times New Roman" w:eastAsia="Calibri" w:hAnsi="Times New Roman"/>
          <w:sz w:val="28"/>
          <w:szCs w:val="28"/>
          <w:lang w:eastAsia="en-US"/>
        </w:rPr>
        <w:t>язаний визначити податкове зобов</w:t>
      </w:r>
      <w:r w:rsidRPr="006B19C5">
        <w:rPr>
          <w:rFonts w:ascii="Times New Roman" w:eastAsia="Calibri" w:hAnsi="Times New Roman"/>
          <w:sz w:val="28"/>
          <w:szCs w:val="28"/>
          <w:lang w:eastAsia="en-US"/>
        </w:rPr>
        <w:t>'</w:t>
      </w:r>
      <w:r w:rsidR="00FF79F3" w:rsidRPr="006B19C5">
        <w:rPr>
          <w:rFonts w:ascii="Times New Roman" w:eastAsia="Calibri" w:hAnsi="Times New Roman"/>
          <w:sz w:val="28"/>
          <w:szCs w:val="28"/>
          <w:lang w:eastAsia="en-US"/>
        </w:rPr>
        <w:t xml:space="preserve">язання з податку на прибуток підприємств у сумі такого перевищення за підсумками звітного податкового </w:t>
      </w:r>
      <w:r w:rsidR="00FF79F3" w:rsidRPr="006B19C5">
        <w:rPr>
          <w:rFonts w:ascii="Times New Roman" w:eastAsia="Calibri" w:hAnsi="Times New Roman"/>
          <w:sz w:val="28"/>
          <w:szCs w:val="28"/>
          <w:lang w:eastAsia="en-US"/>
        </w:rPr>
        <w:lastRenderedPageBreak/>
        <w:t xml:space="preserve">періоду, в якому </w:t>
      </w:r>
      <w:proofErr w:type="spellStart"/>
      <w:r w:rsidR="00FF79F3" w:rsidRPr="006B19C5">
        <w:rPr>
          <w:rFonts w:ascii="Times New Roman" w:eastAsia="Calibri" w:hAnsi="Times New Roman"/>
          <w:sz w:val="28"/>
          <w:szCs w:val="28"/>
          <w:lang w:eastAsia="en-US"/>
        </w:rPr>
        <w:t>виникло</w:t>
      </w:r>
      <w:proofErr w:type="spellEnd"/>
      <w:r w:rsidR="00FF79F3" w:rsidRPr="006B19C5">
        <w:rPr>
          <w:rFonts w:ascii="Times New Roman" w:eastAsia="Calibri" w:hAnsi="Times New Roman"/>
          <w:sz w:val="28"/>
          <w:szCs w:val="28"/>
          <w:lang w:eastAsia="en-US"/>
        </w:rPr>
        <w:t xml:space="preserve"> зазначене перевищення, і сплатити податок до бюджету в загальному порядку. У такому випадку платник податків – інвестор зі значними інвестиціями сплачує податок на прибуток підприємств на загальних підставах з першого числа місяця, наступного за податковим (звітним) періодом, у якому відбулося таке перевищення.</w:t>
      </w:r>
    </w:p>
    <w:p w:rsidR="00FF79F3" w:rsidRPr="006B19C5" w:rsidRDefault="00FF79F3" w:rsidP="000B7086">
      <w:pPr>
        <w:pStyle w:val="a3"/>
        <w:widowControl w:val="0"/>
        <w:spacing w:line="235" w:lineRule="auto"/>
        <w:ind w:firstLine="709"/>
        <w:rPr>
          <w:rFonts w:ascii="Times New Roman" w:eastAsia="Calibri" w:hAnsi="Times New Roman"/>
          <w:sz w:val="28"/>
          <w:szCs w:val="28"/>
          <w:lang w:eastAsia="en-US"/>
        </w:rPr>
      </w:pPr>
      <w:r w:rsidRPr="006B19C5">
        <w:rPr>
          <w:rFonts w:ascii="Times New Roman" w:eastAsia="Calibri" w:hAnsi="Times New Roman"/>
          <w:sz w:val="28"/>
          <w:szCs w:val="28"/>
          <w:lang w:eastAsia="en-US"/>
        </w:rPr>
        <w:t xml:space="preserve">Якщо платник податку – інвестор зі значними інвестиціями здійснює </w:t>
      </w:r>
      <w:r w:rsidR="00B514D3" w:rsidRPr="006B19C5">
        <w:rPr>
          <w:rFonts w:ascii="Times New Roman" w:eastAsia="Calibri" w:hAnsi="Times New Roman"/>
          <w:sz w:val="28"/>
          <w:szCs w:val="28"/>
          <w:lang w:eastAsia="en-US"/>
        </w:rPr>
        <w:t xml:space="preserve">                   </w:t>
      </w:r>
      <w:r w:rsidRPr="006B19C5">
        <w:rPr>
          <w:rFonts w:ascii="Times New Roman" w:eastAsia="Calibri" w:hAnsi="Times New Roman"/>
          <w:sz w:val="28"/>
          <w:szCs w:val="28"/>
          <w:lang w:eastAsia="en-US"/>
        </w:rPr>
        <w:t>у рамках діяльності, пов</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язаної з виконанням спеціального інвестиційного договору, контрольовані операції, визначені</w:t>
      </w:r>
      <w:r w:rsidR="00B514D3" w:rsidRPr="006B19C5">
        <w:rPr>
          <w:rFonts w:ascii="Times New Roman" w:eastAsia="Calibri" w:hAnsi="Times New Roman"/>
          <w:sz w:val="28"/>
          <w:szCs w:val="28"/>
          <w:lang w:eastAsia="en-US"/>
        </w:rPr>
        <w:t xml:space="preserve"> </w:t>
      </w:r>
      <w:hyperlink r:id="rId12" w:anchor="n1031" w:history="1">
        <w:r w:rsidRPr="006B19C5">
          <w:rPr>
            <w:rFonts w:ascii="Times New Roman" w:eastAsia="Calibri" w:hAnsi="Times New Roman"/>
            <w:sz w:val="28"/>
            <w:szCs w:val="28"/>
            <w:lang w:eastAsia="en-US"/>
          </w:rPr>
          <w:t>статтею 39</w:t>
        </w:r>
      </w:hyperlink>
      <w:r w:rsidRPr="006B19C5">
        <w:rPr>
          <w:rFonts w:ascii="Times New Roman" w:eastAsia="Calibri" w:hAnsi="Times New Roman"/>
          <w:sz w:val="28"/>
          <w:szCs w:val="28"/>
          <w:lang w:eastAsia="en-US"/>
        </w:rPr>
        <w:t xml:space="preserve"> цього Кодексу, об</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єктом оподаткування податком на прибуток підприємств для таких операцій є:</w:t>
      </w:r>
    </w:p>
    <w:p w:rsidR="00FF79F3" w:rsidRPr="006B19C5" w:rsidRDefault="00FF79F3" w:rsidP="000B7086">
      <w:pPr>
        <w:pStyle w:val="a3"/>
        <w:widowControl w:val="0"/>
        <w:spacing w:line="235" w:lineRule="auto"/>
        <w:ind w:firstLine="709"/>
        <w:rPr>
          <w:rFonts w:ascii="Times New Roman" w:eastAsia="Calibri" w:hAnsi="Times New Roman"/>
          <w:sz w:val="28"/>
          <w:szCs w:val="28"/>
          <w:lang w:eastAsia="en-US"/>
        </w:rPr>
      </w:pPr>
      <w:r w:rsidRPr="006B19C5">
        <w:rPr>
          <w:rFonts w:ascii="Times New Roman" w:eastAsia="Calibri" w:hAnsi="Times New Roman"/>
          <w:sz w:val="28"/>
          <w:szCs w:val="28"/>
          <w:lang w:eastAsia="en-US"/>
        </w:rPr>
        <w:t xml:space="preserve">перевищення ціни, визначеної за принципом </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витягнутої руки</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 над договірною (контрактною) вартістю (вартістю, за якою відповідна операція</w:t>
      </w:r>
      <w:r w:rsidRPr="006B19C5">
        <w:rPr>
          <w:rFonts w:ascii="Times New Roman" w:eastAsia="Calibri" w:hAnsi="Times New Roman"/>
          <w:sz w:val="28"/>
          <w:szCs w:val="28"/>
        </w:rPr>
        <w:t xml:space="preserve"> </w:t>
      </w:r>
      <w:r w:rsidRPr="006B19C5">
        <w:rPr>
          <w:rFonts w:ascii="Times New Roman" w:eastAsia="Calibri" w:hAnsi="Times New Roman"/>
          <w:sz w:val="28"/>
          <w:szCs w:val="28"/>
          <w:lang w:eastAsia="en-US"/>
        </w:rPr>
        <w:t>повинна відображатися відповідно до національних положень (стандартів) бухгалтерського обліку або міжнародних стандартів фінансової звітності) реалізованих товарів (робіт, послуг);</w:t>
      </w:r>
    </w:p>
    <w:p w:rsidR="00FF79F3" w:rsidRPr="006B19C5" w:rsidRDefault="00FF79F3" w:rsidP="000B7086">
      <w:pPr>
        <w:pStyle w:val="a3"/>
        <w:widowControl w:val="0"/>
        <w:spacing w:line="235" w:lineRule="auto"/>
        <w:ind w:firstLine="709"/>
        <w:rPr>
          <w:rFonts w:ascii="Times New Roman" w:eastAsia="Calibri" w:hAnsi="Times New Roman"/>
          <w:sz w:val="28"/>
          <w:szCs w:val="28"/>
          <w:lang w:eastAsia="en-US"/>
        </w:rPr>
      </w:pPr>
      <w:bookmarkStart w:id="4" w:name="n14085"/>
      <w:bookmarkStart w:id="5" w:name="n10725"/>
      <w:bookmarkEnd w:id="4"/>
      <w:bookmarkEnd w:id="5"/>
      <w:r w:rsidRPr="006B19C5">
        <w:rPr>
          <w:rFonts w:ascii="Times New Roman" w:eastAsia="Calibri" w:hAnsi="Times New Roman"/>
          <w:sz w:val="28"/>
          <w:szCs w:val="28"/>
          <w:lang w:eastAsia="en-US"/>
        </w:rPr>
        <w:t xml:space="preserve">перевищення договірної (контрактної) вартості (вартості, за якою відповідна операція повинна відображатися відповідно до національних положень (стандартів) бухгалтерського обліку або міжнародних стандартів фінансової звітності) придбаних товарів (робіт, послуг) над ціною, визначеною за принципом </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витягнутої руки</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w:t>
      </w:r>
    </w:p>
    <w:p w:rsidR="00FF79F3" w:rsidRPr="006B19C5" w:rsidRDefault="00FF79F3" w:rsidP="000B7086">
      <w:pPr>
        <w:pStyle w:val="a3"/>
        <w:widowControl w:val="0"/>
        <w:spacing w:line="235" w:lineRule="auto"/>
        <w:ind w:firstLine="709"/>
        <w:rPr>
          <w:rFonts w:ascii="Times New Roman" w:eastAsia="Calibri" w:hAnsi="Times New Roman"/>
          <w:sz w:val="28"/>
          <w:szCs w:val="28"/>
          <w:lang w:eastAsia="en-US"/>
        </w:rPr>
      </w:pPr>
      <w:bookmarkStart w:id="6" w:name="n14088"/>
      <w:bookmarkEnd w:id="6"/>
      <w:r w:rsidRPr="006B19C5">
        <w:rPr>
          <w:rFonts w:ascii="Times New Roman" w:eastAsia="Calibri" w:hAnsi="Times New Roman"/>
          <w:sz w:val="28"/>
          <w:szCs w:val="28"/>
          <w:lang w:eastAsia="en-US"/>
        </w:rPr>
        <w:t>У разі дострокового припинення спеціального інвестиційного договору у зв</w:t>
      </w:r>
      <w:r w:rsidR="00E568C4"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язку із невиконанням інвестором зі значними інвестиціями зобов</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язань щодо обсягу інвестицій в об</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єкти інвестування і строку реалізації інвестиційного проекту зі значними інвестиціями, встановлених спеціальним інвестиційним договором</w:t>
      </w:r>
      <w:r w:rsidR="00575901" w:rsidRPr="006B19C5">
        <w:rPr>
          <w:rFonts w:ascii="Times New Roman" w:eastAsia="Calibri" w:hAnsi="Times New Roman"/>
          <w:sz w:val="28"/>
          <w:szCs w:val="28"/>
          <w:lang w:eastAsia="en-US"/>
        </w:rPr>
        <w:t xml:space="preserve"> (</w:t>
      </w:r>
      <w:r w:rsidRPr="006B19C5">
        <w:rPr>
          <w:rFonts w:ascii="Times New Roman" w:eastAsia="Calibri" w:hAnsi="Times New Roman"/>
          <w:sz w:val="28"/>
          <w:szCs w:val="28"/>
          <w:lang w:eastAsia="en-US"/>
        </w:rPr>
        <w:t>крім випадків невиконання взятих на себе державою зобов</w:t>
      </w:r>
      <w:r w:rsidR="00E568C4"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язань щодо надання державної підтримки за спеціальним інвестиційним договором або настання форс-мажорних обставин (обставин непереборної сили), платник податку втрачає право на застосування встановлених цим пунктом правил оподаткування та зобов</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язаний за підсумками звітного податкового періоду, в якому достроково припинений спеціальний інвестиційний договір, визначити податкове зобов</w:t>
      </w:r>
      <w:r w:rsidR="00B514D3" w:rsidRPr="006B19C5">
        <w:rPr>
          <w:rFonts w:ascii="Times New Roman" w:eastAsia="Calibri" w:hAnsi="Times New Roman"/>
          <w:sz w:val="28"/>
          <w:szCs w:val="28"/>
          <w:lang w:eastAsia="en-US"/>
        </w:rPr>
        <w:t>'</w:t>
      </w:r>
      <w:r w:rsidRPr="006B19C5">
        <w:rPr>
          <w:rFonts w:ascii="Times New Roman" w:eastAsia="Calibri" w:hAnsi="Times New Roman"/>
          <w:sz w:val="28"/>
          <w:szCs w:val="28"/>
          <w:lang w:eastAsia="en-US"/>
        </w:rPr>
        <w:t xml:space="preserve">язання </w:t>
      </w:r>
      <w:r w:rsidR="00DF0DBA" w:rsidRPr="006B19C5">
        <w:rPr>
          <w:rFonts w:ascii="Times New Roman" w:eastAsia="Calibri" w:hAnsi="Times New Roman"/>
          <w:sz w:val="28"/>
          <w:szCs w:val="28"/>
          <w:lang w:eastAsia="en-US"/>
        </w:rPr>
        <w:t xml:space="preserve">                 </w:t>
      </w:r>
      <w:r w:rsidRPr="006B19C5">
        <w:rPr>
          <w:rFonts w:ascii="Times New Roman" w:eastAsia="Calibri" w:hAnsi="Times New Roman"/>
          <w:sz w:val="28"/>
          <w:szCs w:val="28"/>
          <w:lang w:eastAsia="en-US"/>
        </w:rPr>
        <w:t>з податку на прибуток підприємств за весь період застосування звільнення від податку на прибуток підприємств відповідно до цього пункту і сплатити податок на прибуток підприємств до бюджету на загальних підставах. При цьому встановлені</w:t>
      </w:r>
      <w:r w:rsidR="00B514D3" w:rsidRPr="006B19C5">
        <w:rPr>
          <w:rFonts w:ascii="Times New Roman" w:eastAsia="Calibri" w:hAnsi="Times New Roman"/>
          <w:sz w:val="28"/>
          <w:szCs w:val="28"/>
          <w:lang w:eastAsia="en-US"/>
        </w:rPr>
        <w:t xml:space="preserve"> </w:t>
      </w:r>
      <w:hyperlink r:id="rId13" w:anchor="n2287" w:history="1">
        <w:r w:rsidRPr="006B19C5">
          <w:rPr>
            <w:rFonts w:ascii="Times New Roman" w:eastAsia="Calibri" w:hAnsi="Times New Roman"/>
            <w:sz w:val="28"/>
            <w:szCs w:val="28"/>
            <w:lang w:eastAsia="en-US"/>
          </w:rPr>
          <w:t>статтею</w:t>
        </w:r>
        <w:r w:rsidR="00B514D3" w:rsidRPr="006B19C5">
          <w:rPr>
            <w:rFonts w:ascii="Times New Roman" w:eastAsia="Calibri" w:hAnsi="Times New Roman"/>
            <w:sz w:val="28"/>
            <w:szCs w:val="28"/>
            <w:lang w:eastAsia="en-US"/>
          </w:rPr>
          <w:t xml:space="preserve"> </w:t>
        </w:r>
        <w:r w:rsidRPr="006B19C5">
          <w:rPr>
            <w:rFonts w:ascii="Times New Roman" w:eastAsia="Calibri" w:hAnsi="Times New Roman"/>
            <w:sz w:val="28"/>
            <w:szCs w:val="28"/>
            <w:lang w:eastAsia="en-US"/>
          </w:rPr>
          <w:t>102</w:t>
        </w:r>
      </w:hyperlink>
      <w:r w:rsidR="00B514D3" w:rsidRPr="006B19C5">
        <w:rPr>
          <w:rFonts w:ascii="Times New Roman" w:eastAsia="Calibri" w:hAnsi="Times New Roman"/>
          <w:sz w:val="28"/>
          <w:szCs w:val="28"/>
          <w:lang w:eastAsia="en-US"/>
        </w:rPr>
        <w:t xml:space="preserve"> </w:t>
      </w:r>
      <w:r w:rsidRPr="006B19C5">
        <w:rPr>
          <w:rFonts w:ascii="Times New Roman" w:eastAsia="Calibri" w:hAnsi="Times New Roman"/>
          <w:sz w:val="28"/>
          <w:szCs w:val="28"/>
          <w:lang w:eastAsia="en-US"/>
        </w:rPr>
        <w:t>цього Кодексу строки давності не застосовуються</w:t>
      </w:r>
      <w:r w:rsidR="00B514D3" w:rsidRPr="006B19C5">
        <w:rPr>
          <w:rFonts w:ascii="Times New Roman" w:eastAsia="Calibri" w:hAnsi="Times New Roman"/>
          <w:sz w:val="28"/>
          <w:szCs w:val="28"/>
          <w:lang w:eastAsia="en-US"/>
        </w:rPr>
        <w:t>";</w:t>
      </w:r>
    </w:p>
    <w:p w:rsidR="00FF79F3" w:rsidRPr="006B19C5" w:rsidRDefault="00FF79F3" w:rsidP="000B7086">
      <w:pPr>
        <w:pStyle w:val="a3"/>
        <w:widowControl w:val="0"/>
        <w:spacing w:line="235" w:lineRule="auto"/>
        <w:ind w:firstLine="709"/>
        <w:rPr>
          <w:rFonts w:ascii="Times New Roman" w:eastAsia="Calibri" w:hAnsi="Times New Roman"/>
          <w:sz w:val="28"/>
          <w:szCs w:val="28"/>
          <w:lang w:eastAsia="en-US"/>
        </w:rPr>
      </w:pPr>
      <w:r w:rsidRPr="006B19C5">
        <w:rPr>
          <w:rFonts w:ascii="Times New Roman" w:eastAsia="Calibri" w:hAnsi="Times New Roman"/>
          <w:sz w:val="28"/>
          <w:szCs w:val="28"/>
          <w:lang w:eastAsia="en-US"/>
        </w:rPr>
        <w:t>3</w:t>
      </w:r>
      <w:r w:rsidR="00B514D3" w:rsidRPr="006B19C5">
        <w:rPr>
          <w:rFonts w:ascii="Times New Roman" w:eastAsia="Calibri" w:hAnsi="Times New Roman"/>
          <w:sz w:val="28"/>
          <w:szCs w:val="28"/>
          <w:lang w:eastAsia="en-US"/>
        </w:rPr>
        <w:t xml:space="preserve">) </w:t>
      </w:r>
      <w:hyperlink r:id="rId14" w:anchor="n8221" w:tgtFrame="_blank" w:history="1">
        <w:r w:rsidR="00B514D3" w:rsidRPr="006B19C5">
          <w:rPr>
            <w:rFonts w:ascii="Times New Roman" w:eastAsia="Calibri" w:hAnsi="Times New Roman"/>
            <w:sz w:val="28"/>
            <w:szCs w:val="28"/>
            <w:lang w:eastAsia="en-US"/>
          </w:rPr>
          <w:t>п</w:t>
        </w:r>
        <w:r w:rsidRPr="006B19C5">
          <w:rPr>
            <w:rFonts w:ascii="Times New Roman" w:eastAsia="Calibri" w:hAnsi="Times New Roman"/>
            <w:sz w:val="28"/>
            <w:szCs w:val="28"/>
            <w:lang w:eastAsia="en-US"/>
          </w:rPr>
          <w:t>ідрозділ 6</w:t>
        </w:r>
      </w:hyperlink>
      <w:r w:rsidRPr="006B19C5">
        <w:rPr>
          <w:rFonts w:ascii="Times New Roman" w:eastAsia="Calibri" w:hAnsi="Times New Roman"/>
          <w:sz w:val="28"/>
          <w:szCs w:val="28"/>
          <w:lang w:eastAsia="en-US"/>
        </w:rPr>
        <w:t xml:space="preserve"> доповнити пунктом 1</w:t>
      </w:r>
      <w:r w:rsidR="00FB03B5" w:rsidRPr="006B19C5">
        <w:rPr>
          <w:rFonts w:ascii="Times New Roman" w:eastAsia="Calibri" w:hAnsi="Times New Roman"/>
          <w:sz w:val="28"/>
          <w:szCs w:val="28"/>
          <w:lang w:eastAsia="en-US"/>
        </w:rPr>
        <w:t>1</w:t>
      </w:r>
      <w:r w:rsidRPr="006B19C5">
        <w:rPr>
          <w:rFonts w:ascii="Times New Roman" w:eastAsia="Calibri" w:hAnsi="Times New Roman"/>
          <w:sz w:val="28"/>
          <w:szCs w:val="28"/>
          <w:lang w:eastAsia="en-US"/>
        </w:rPr>
        <w:t xml:space="preserve"> такого змісту:</w:t>
      </w:r>
    </w:p>
    <w:p w:rsidR="00FF79F3" w:rsidRPr="006B19C5" w:rsidRDefault="00B514D3" w:rsidP="000B7086">
      <w:pPr>
        <w:pStyle w:val="a3"/>
        <w:widowControl w:val="0"/>
        <w:spacing w:line="235" w:lineRule="auto"/>
        <w:ind w:firstLine="709"/>
        <w:rPr>
          <w:rFonts w:ascii="Times New Roman" w:eastAsia="Calibri" w:hAnsi="Times New Roman"/>
          <w:sz w:val="28"/>
          <w:szCs w:val="28"/>
          <w:lang w:eastAsia="en-US"/>
        </w:rPr>
      </w:pPr>
      <w:r w:rsidRPr="006B19C5">
        <w:rPr>
          <w:rFonts w:ascii="Times New Roman" w:eastAsia="Calibri" w:hAnsi="Times New Roman"/>
          <w:sz w:val="28"/>
          <w:szCs w:val="28"/>
          <w:lang w:eastAsia="en-US"/>
        </w:rPr>
        <w:t>"</w:t>
      </w:r>
      <w:r w:rsidR="00FF79F3" w:rsidRPr="006B19C5">
        <w:rPr>
          <w:rFonts w:ascii="Times New Roman" w:eastAsia="Calibri" w:hAnsi="Times New Roman"/>
          <w:sz w:val="28"/>
          <w:szCs w:val="28"/>
          <w:lang w:eastAsia="en-US"/>
        </w:rPr>
        <w:t>1</w:t>
      </w:r>
      <w:r w:rsidR="00FB03B5" w:rsidRPr="006B19C5">
        <w:rPr>
          <w:rFonts w:ascii="Times New Roman" w:eastAsia="Calibri" w:hAnsi="Times New Roman"/>
          <w:sz w:val="28"/>
          <w:szCs w:val="28"/>
          <w:lang w:eastAsia="en-US"/>
        </w:rPr>
        <w:t>1</w:t>
      </w:r>
      <w:r w:rsidR="00FF79F3" w:rsidRPr="006B19C5">
        <w:rPr>
          <w:rFonts w:ascii="Times New Roman" w:eastAsia="Calibri" w:hAnsi="Times New Roman"/>
          <w:sz w:val="28"/>
          <w:szCs w:val="28"/>
          <w:lang w:eastAsia="en-US"/>
        </w:rPr>
        <w:t xml:space="preserve">. Тимчасово, до 1 січня 2035 року, установити, що в частині плати за землю за земельні ділянки, нормативну грошову оцінку яких проведено, що використовуються в рамках реалізації інвестиційних проектів зі значними інвестиціями відповідно до Закону України </w:t>
      </w:r>
      <w:r w:rsidRPr="006B19C5">
        <w:rPr>
          <w:rFonts w:ascii="Times New Roman" w:eastAsia="Calibri" w:hAnsi="Times New Roman"/>
          <w:sz w:val="28"/>
          <w:szCs w:val="28"/>
          <w:lang w:eastAsia="en-US"/>
        </w:rPr>
        <w:t>"</w:t>
      </w:r>
      <w:r w:rsidR="00FF79F3" w:rsidRPr="006B19C5">
        <w:rPr>
          <w:rFonts w:ascii="Times New Roman" w:eastAsia="Calibri" w:hAnsi="Times New Roman"/>
          <w:sz w:val="28"/>
          <w:szCs w:val="28"/>
          <w:lang w:eastAsia="en-US"/>
        </w:rPr>
        <w:t>Про державну підтримку інвестиційних проектів зі значними інвестиціями</w:t>
      </w:r>
      <w:r w:rsidRPr="006B19C5">
        <w:rPr>
          <w:rFonts w:ascii="Times New Roman" w:eastAsia="Calibri" w:hAnsi="Times New Roman"/>
          <w:sz w:val="28"/>
          <w:szCs w:val="28"/>
          <w:lang w:eastAsia="en-US"/>
        </w:rPr>
        <w:t xml:space="preserve">" </w:t>
      </w:r>
      <w:r w:rsidR="00FF79F3" w:rsidRPr="006B19C5">
        <w:rPr>
          <w:rFonts w:ascii="Times New Roman" w:eastAsia="Calibri" w:hAnsi="Times New Roman"/>
          <w:sz w:val="28"/>
          <w:szCs w:val="28"/>
          <w:lang w:eastAsia="en-US"/>
        </w:rPr>
        <w:t>органи місцевого самоврядування можуть:</w:t>
      </w:r>
    </w:p>
    <w:p w:rsidR="00FF79F3" w:rsidRPr="00A662F1" w:rsidRDefault="00FF79F3" w:rsidP="00DF0DBA">
      <w:pPr>
        <w:pStyle w:val="a3"/>
        <w:widowControl w:val="0"/>
        <w:spacing w:before="0" w:line="235" w:lineRule="auto"/>
        <w:ind w:firstLine="709"/>
        <w:rPr>
          <w:rFonts w:ascii="Times New Roman" w:eastAsia="Calibri" w:hAnsi="Times New Roman"/>
          <w:sz w:val="28"/>
          <w:szCs w:val="28"/>
          <w:lang w:eastAsia="en-US"/>
        </w:rPr>
      </w:pPr>
      <w:r w:rsidRPr="006B19C5">
        <w:rPr>
          <w:rFonts w:ascii="Times New Roman" w:eastAsia="Calibri" w:hAnsi="Times New Roman"/>
          <w:sz w:val="28"/>
          <w:szCs w:val="28"/>
          <w:lang w:eastAsia="en-US"/>
        </w:rPr>
        <w:t>встановлювати ставки земельного податку та орендну плату за землі державної та комунальної власності в розмірі меншому, ніж розмір земельного податку, встановленого рішенням відповідного органу місцевого самоврядування для певної категорії земель, що сплачується на відповідній території; звільняти від сплати земельного податку</w:t>
      </w:r>
      <w:r w:rsidRPr="00A662F1">
        <w:rPr>
          <w:rFonts w:ascii="Times New Roman" w:eastAsia="Calibri" w:hAnsi="Times New Roman"/>
          <w:sz w:val="28"/>
          <w:szCs w:val="28"/>
          <w:lang w:eastAsia="en-US"/>
        </w:rPr>
        <w:t>.</w:t>
      </w:r>
    </w:p>
    <w:p w:rsidR="00FF79F3" w:rsidRPr="00A662F1" w:rsidRDefault="00FF79F3" w:rsidP="000B7086">
      <w:pPr>
        <w:pStyle w:val="a3"/>
        <w:widowControl w:val="0"/>
        <w:ind w:firstLine="709"/>
        <w:rPr>
          <w:rFonts w:ascii="Times New Roman" w:eastAsia="Calibri" w:hAnsi="Times New Roman"/>
          <w:sz w:val="28"/>
          <w:szCs w:val="28"/>
          <w:lang w:eastAsia="en-US"/>
        </w:rPr>
      </w:pPr>
      <w:r w:rsidRPr="00A662F1">
        <w:rPr>
          <w:rFonts w:ascii="Times New Roman" w:eastAsia="Calibri" w:hAnsi="Times New Roman"/>
          <w:sz w:val="28"/>
          <w:szCs w:val="28"/>
          <w:lang w:eastAsia="en-US"/>
        </w:rPr>
        <w:t>До таких рішень органів місцевого самоврядування та</w:t>
      </w:r>
      <w:r w:rsidR="00DF0DBA">
        <w:rPr>
          <w:rFonts w:ascii="Times New Roman" w:eastAsia="Calibri" w:hAnsi="Times New Roman"/>
          <w:sz w:val="28"/>
          <w:szCs w:val="28"/>
          <w:lang w:eastAsia="en-US"/>
        </w:rPr>
        <w:t>/або</w:t>
      </w:r>
      <w:r w:rsidRPr="00A662F1">
        <w:rPr>
          <w:rFonts w:ascii="Times New Roman" w:eastAsia="Calibri" w:hAnsi="Times New Roman"/>
          <w:sz w:val="28"/>
          <w:szCs w:val="28"/>
          <w:lang w:eastAsia="en-US"/>
        </w:rPr>
        <w:t xml:space="preserve"> рішень про внесення змін до таких рішень не застосовуються вимоги підпункту 4.1.9 пункту 4.1 та пункту 4.5 статі 4, підпунктів 12.3.3, 12.3.4 і 12.3.7 пункту 12.3</w:t>
      </w:r>
      <w:r w:rsidR="00DF0DBA">
        <w:rPr>
          <w:rFonts w:ascii="Times New Roman" w:eastAsia="Calibri" w:hAnsi="Times New Roman"/>
          <w:sz w:val="28"/>
          <w:szCs w:val="28"/>
          <w:lang w:eastAsia="en-US"/>
        </w:rPr>
        <w:t>,</w:t>
      </w:r>
      <w:r w:rsidRPr="00A662F1">
        <w:rPr>
          <w:rFonts w:ascii="Times New Roman" w:eastAsia="Calibri" w:hAnsi="Times New Roman"/>
          <w:sz w:val="28"/>
          <w:szCs w:val="28"/>
          <w:lang w:eastAsia="en-US"/>
        </w:rPr>
        <w:t xml:space="preserve"> підпункту 12.4.3 пу</w:t>
      </w:r>
      <w:r w:rsidR="00E568C4">
        <w:rPr>
          <w:rFonts w:ascii="Times New Roman" w:eastAsia="Calibri" w:hAnsi="Times New Roman"/>
          <w:sz w:val="28"/>
          <w:szCs w:val="28"/>
          <w:lang w:eastAsia="en-US"/>
        </w:rPr>
        <w:t xml:space="preserve">нкту 12.4 та пункту 12.5 статті </w:t>
      </w:r>
      <w:r w:rsidRPr="00A662F1">
        <w:rPr>
          <w:rFonts w:ascii="Times New Roman" w:eastAsia="Calibri" w:hAnsi="Times New Roman"/>
          <w:sz w:val="28"/>
          <w:szCs w:val="28"/>
          <w:lang w:eastAsia="en-US"/>
        </w:rPr>
        <w:t xml:space="preserve">12 цього Кодексу та Закону України </w:t>
      </w:r>
      <w:r w:rsidR="00E568C4">
        <w:rPr>
          <w:rFonts w:ascii="Times New Roman" w:eastAsia="Calibri" w:hAnsi="Times New Roman"/>
          <w:sz w:val="28"/>
          <w:szCs w:val="28"/>
          <w:lang w:eastAsia="en-US"/>
        </w:rPr>
        <w:t>"</w:t>
      </w:r>
      <w:r w:rsidRPr="00A662F1">
        <w:rPr>
          <w:rFonts w:ascii="Times New Roman" w:eastAsia="Calibri" w:hAnsi="Times New Roman"/>
          <w:sz w:val="28"/>
          <w:szCs w:val="28"/>
          <w:lang w:eastAsia="en-US"/>
        </w:rPr>
        <w:t>Про засади державної регуляторної політики у сфері господарської діяльності</w:t>
      </w:r>
      <w:r w:rsidR="00E568C4">
        <w:rPr>
          <w:rFonts w:ascii="Times New Roman" w:eastAsia="Calibri" w:hAnsi="Times New Roman"/>
          <w:sz w:val="28"/>
          <w:szCs w:val="28"/>
          <w:lang w:eastAsia="en-US"/>
        </w:rPr>
        <w:t>"</w:t>
      </w:r>
      <w:r w:rsidRPr="00A662F1">
        <w:rPr>
          <w:rFonts w:ascii="Times New Roman" w:eastAsia="Calibri" w:hAnsi="Times New Roman"/>
          <w:sz w:val="28"/>
          <w:szCs w:val="28"/>
          <w:lang w:eastAsia="en-US"/>
        </w:rPr>
        <w:t>.</w:t>
      </w:r>
    </w:p>
    <w:p w:rsidR="00FF79F3" w:rsidRPr="00A662F1" w:rsidRDefault="00FF79F3" w:rsidP="000B7086">
      <w:pPr>
        <w:pStyle w:val="a3"/>
        <w:widowControl w:val="0"/>
        <w:ind w:firstLine="709"/>
        <w:rPr>
          <w:rFonts w:ascii="Times New Roman" w:eastAsia="Calibri" w:hAnsi="Times New Roman"/>
          <w:sz w:val="28"/>
          <w:szCs w:val="28"/>
          <w:lang w:eastAsia="en-US"/>
        </w:rPr>
      </w:pPr>
      <w:r w:rsidRPr="00A662F1">
        <w:rPr>
          <w:rFonts w:ascii="Times New Roman" w:eastAsia="Calibri" w:hAnsi="Times New Roman"/>
          <w:sz w:val="28"/>
          <w:szCs w:val="28"/>
          <w:lang w:eastAsia="en-US"/>
        </w:rPr>
        <w:t xml:space="preserve">Загальна сума вивільнених від оподаткування коштів (сум податку, що не сплачуються до бюджету та залишаються у розпорядженні платника податку – інвестора зі значними інвестиціями) враховується у складі сукупного обсягу передбаченої спеціальним інвестиційним договором державної підтримки інвестиційного проекту зі значними інвестиціями, яка надається відповідно до Закону України </w:t>
      </w:r>
      <w:r w:rsidR="00E568C4">
        <w:rPr>
          <w:rFonts w:ascii="Times New Roman" w:eastAsia="Calibri" w:hAnsi="Times New Roman"/>
          <w:sz w:val="28"/>
          <w:szCs w:val="28"/>
          <w:lang w:eastAsia="en-US"/>
        </w:rPr>
        <w:t>"</w:t>
      </w:r>
      <w:r w:rsidRPr="00A662F1">
        <w:rPr>
          <w:rFonts w:ascii="Times New Roman" w:eastAsia="Calibri" w:hAnsi="Times New Roman"/>
          <w:sz w:val="28"/>
          <w:szCs w:val="28"/>
          <w:lang w:eastAsia="en-US"/>
        </w:rPr>
        <w:t>Про державну підтримку інвестиційних проектів зі значними інвестиціями</w:t>
      </w:r>
      <w:r w:rsidR="00E568C4">
        <w:rPr>
          <w:rFonts w:ascii="Times New Roman" w:eastAsia="Calibri" w:hAnsi="Times New Roman"/>
          <w:sz w:val="28"/>
          <w:szCs w:val="28"/>
          <w:lang w:eastAsia="en-US"/>
        </w:rPr>
        <w:t>"</w:t>
      </w:r>
      <w:r w:rsidR="00DF0DBA">
        <w:rPr>
          <w:rFonts w:ascii="Times New Roman" w:eastAsia="Calibri" w:hAnsi="Times New Roman"/>
          <w:sz w:val="28"/>
          <w:szCs w:val="28"/>
          <w:lang w:eastAsia="en-US"/>
        </w:rPr>
        <w:t>.</w:t>
      </w:r>
    </w:p>
    <w:p w:rsidR="00FF79F3" w:rsidRDefault="00FF79F3" w:rsidP="000B7086">
      <w:pPr>
        <w:pStyle w:val="a3"/>
        <w:widowControl w:val="0"/>
        <w:ind w:firstLine="709"/>
        <w:rPr>
          <w:rFonts w:ascii="Times New Roman" w:eastAsia="Calibri" w:hAnsi="Times New Roman"/>
          <w:sz w:val="28"/>
          <w:szCs w:val="28"/>
          <w:lang w:eastAsia="en-US"/>
        </w:rPr>
      </w:pPr>
      <w:r w:rsidRPr="00A662F1">
        <w:rPr>
          <w:rFonts w:ascii="Times New Roman" w:eastAsia="Calibri" w:hAnsi="Times New Roman"/>
          <w:sz w:val="28"/>
          <w:szCs w:val="28"/>
          <w:lang w:eastAsia="en-US"/>
        </w:rPr>
        <w:t xml:space="preserve">Прийняття органами місцевого самоврядування рішень відповідно до абзацу першого цього пункту здійснюється з урахуванням вимог Закону України </w:t>
      </w:r>
      <w:r w:rsidR="00E568C4">
        <w:rPr>
          <w:rFonts w:ascii="Times New Roman" w:eastAsia="Calibri" w:hAnsi="Times New Roman"/>
          <w:sz w:val="28"/>
          <w:szCs w:val="28"/>
          <w:lang w:eastAsia="en-US"/>
        </w:rPr>
        <w:t>"</w:t>
      </w:r>
      <w:r w:rsidRPr="00A662F1">
        <w:rPr>
          <w:rFonts w:ascii="Times New Roman" w:eastAsia="Calibri" w:hAnsi="Times New Roman"/>
          <w:sz w:val="28"/>
          <w:szCs w:val="28"/>
          <w:lang w:eastAsia="en-US"/>
        </w:rPr>
        <w:t>Про державну підтримку інвестиційних проектів зі значними інвестиціями</w:t>
      </w:r>
      <w:r w:rsidR="00E568C4">
        <w:rPr>
          <w:rFonts w:ascii="Times New Roman" w:eastAsia="Calibri" w:hAnsi="Times New Roman"/>
          <w:sz w:val="28"/>
          <w:szCs w:val="28"/>
          <w:lang w:eastAsia="en-US"/>
        </w:rPr>
        <w:t>"</w:t>
      </w:r>
      <w:r w:rsidRPr="00A662F1">
        <w:rPr>
          <w:rFonts w:ascii="Times New Roman" w:eastAsia="Calibri" w:hAnsi="Times New Roman"/>
          <w:sz w:val="28"/>
          <w:szCs w:val="28"/>
          <w:lang w:eastAsia="en-US"/>
        </w:rPr>
        <w:t xml:space="preserve"> стосовно обмеження загального обсягу державної підтримки інвестиційного проекту зі значними інвестиціями та положень відповідних спеціальних інвестиційних договорів, укладених відповідно до Закону України </w:t>
      </w:r>
      <w:r w:rsidR="00B514D3">
        <w:rPr>
          <w:rFonts w:ascii="Times New Roman" w:eastAsia="Calibri" w:hAnsi="Times New Roman"/>
          <w:sz w:val="28"/>
          <w:szCs w:val="28"/>
          <w:lang w:eastAsia="en-US"/>
        </w:rPr>
        <w:t>"</w:t>
      </w:r>
      <w:r w:rsidRPr="00A662F1">
        <w:rPr>
          <w:rFonts w:ascii="Times New Roman" w:eastAsia="Calibri" w:hAnsi="Times New Roman"/>
          <w:sz w:val="28"/>
          <w:szCs w:val="28"/>
          <w:lang w:eastAsia="en-US"/>
        </w:rPr>
        <w:t>Про державну підтримку інвестиційних проектів зі значними інвестиціями</w:t>
      </w:r>
      <w:r w:rsidR="00B514D3">
        <w:rPr>
          <w:rFonts w:ascii="Times New Roman" w:eastAsia="Calibri" w:hAnsi="Times New Roman"/>
          <w:sz w:val="28"/>
          <w:szCs w:val="28"/>
          <w:lang w:eastAsia="en-US"/>
        </w:rPr>
        <w:t>"</w:t>
      </w:r>
      <w:r w:rsidRPr="00A662F1">
        <w:rPr>
          <w:rFonts w:ascii="Times New Roman" w:eastAsia="Calibri" w:hAnsi="Times New Roman"/>
          <w:sz w:val="28"/>
          <w:szCs w:val="28"/>
          <w:lang w:eastAsia="en-US"/>
        </w:rPr>
        <w:t>.</w:t>
      </w:r>
    </w:p>
    <w:p w:rsidR="00E568C4" w:rsidRDefault="00E568C4" w:rsidP="00A662F1">
      <w:pPr>
        <w:pStyle w:val="a3"/>
        <w:widowControl w:val="0"/>
        <w:spacing w:before="0"/>
        <w:ind w:firstLine="709"/>
        <w:rPr>
          <w:rFonts w:ascii="Times New Roman" w:eastAsia="Calibri" w:hAnsi="Times New Roman"/>
          <w:sz w:val="28"/>
          <w:szCs w:val="28"/>
          <w:lang w:eastAsia="en-US"/>
        </w:rPr>
      </w:pPr>
    </w:p>
    <w:p w:rsidR="00C4420F" w:rsidRPr="00A662F1" w:rsidRDefault="00C4420F" w:rsidP="00A662F1">
      <w:pPr>
        <w:pStyle w:val="a3"/>
        <w:widowControl w:val="0"/>
        <w:spacing w:before="0"/>
        <w:ind w:firstLine="709"/>
        <w:rPr>
          <w:rFonts w:ascii="Times New Roman" w:eastAsia="Calibri" w:hAnsi="Times New Roman"/>
          <w:sz w:val="28"/>
          <w:szCs w:val="28"/>
          <w:lang w:eastAsia="en-US"/>
        </w:rPr>
      </w:pPr>
      <w:r w:rsidRPr="00A662F1">
        <w:rPr>
          <w:rFonts w:ascii="Times New Roman" w:eastAsia="Calibri" w:hAnsi="Times New Roman"/>
          <w:sz w:val="28"/>
          <w:szCs w:val="28"/>
          <w:lang w:eastAsia="en-US"/>
        </w:rPr>
        <w:t>II. Прикінцеві положення</w:t>
      </w:r>
    </w:p>
    <w:p w:rsidR="00C4420F" w:rsidRPr="00A662F1" w:rsidRDefault="00C4420F" w:rsidP="00E568C4">
      <w:pPr>
        <w:pStyle w:val="a3"/>
        <w:widowControl w:val="0"/>
        <w:ind w:firstLine="709"/>
        <w:rPr>
          <w:rFonts w:ascii="Times New Roman" w:eastAsia="Calibri" w:hAnsi="Times New Roman"/>
          <w:sz w:val="28"/>
          <w:szCs w:val="28"/>
          <w:lang w:eastAsia="en-US"/>
        </w:rPr>
      </w:pPr>
      <w:bookmarkStart w:id="7" w:name="n10"/>
      <w:bookmarkEnd w:id="7"/>
      <w:r w:rsidRPr="00A662F1">
        <w:rPr>
          <w:rFonts w:ascii="Times New Roman" w:eastAsia="Calibri" w:hAnsi="Times New Roman"/>
          <w:sz w:val="28"/>
          <w:szCs w:val="28"/>
          <w:lang w:eastAsia="en-US"/>
        </w:rPr>
        <w:t>1. Цей Закон набирає чинності з 1 січня 2021 року.</w:t>
      </w:r>
    </w:p>
    <w:p w:rsidR="00C4420F" w:rsidRPr="00A662F1" w:rsidRDefault="00C4420F" w:rsidP="00E568C4">
      <w:pPr>
        <w:pStyle w:val="a3"/>
        <w:widowControl w:val="0"/>
        <w:ind w:firstLine="709"/>
        <w:rPr>
          <w:rFonts w:ascii="Times New Roman" w:eastAsia="Calibri" w:hAnsi="Times New Roman"/>
          <w:sz w:val="28"/>
          <w:szCs w:val="28"/>
          <w:lang w:eastAsia="en-US"/>
        </w:rPr>
      </w:pPr>
      <w:bookmarkStart w:id="8" w:name="n11"/>
      <w:bookmarkEnd w:id="8"/>
      <w:r w:rsidRPr="00A662F1">
        <w:rPr>
          <w:rFonts w:ascii="Times New Roman" w:eastAsia="Calibri" w:hAnsi="Times New Roman"/>
          <w:sz w:val="28"/>
          <w:szCs w:val="28"/>
          <w:lang w:eastAsia="en-US"/>
        </w:rPr>
        <w:t>2. Кабінету Міністрів України протягом трьох місяців з дня набрання чинності цим Законом:</w:t>
      </w:r>
    </w:p>
    <w:p w:rsidR="00C4420F" w:rsidRPr="00A662F1" w:rsidRDefault="00C4420F" w:rsidP="00E568C4">
      <w:pPr>
        <w:pStyle w:val="a3"/>
        <w:widowControl w:val="0"/>
        <w:ind w:firstLine="709"/>
        <w:rPr>
          <w:rFonts w:ascii="Times New Roman" w:eastAsia="Calibri" w:hAnsi="Times New Roman"/>
          <w:sz w:val="28"/>
          <w:szCs w:val="28"/>
          <w:lang w:eastAsia="en-US"/>
        </w:rPr>
      </w:pPr>
      <w:bookmarkStart w:id="9" w:name="n12"/>
      <w:bookmarkEnd w:id="9"/>
      <w:r w:rsidRPr="00A662F1">
        <w:rPr>
          <w:rFonts w:ascii="Times New Roman" w:eastAsia="Calibri" w:hAnsi="Times New Roman"/>
          <w:sz w:val="28"/>
          <w:szCs w:val="28"/>
          <w:lang w:eastAsia="en-US"/>
        </w:rPr>
        <w:t>привести свої нормативно-правові акти у відповідність із цим Законом;</w:t>
      </w:r>
    </w:p>
    <w:p w:rsidR="00692CAD" w:rsidRPr="00A662F1" w:rsidRDefault="00C4420F" w:rsidP="00E568C4">
      <w:pPr>
        <w:pStyle w:val="a3"/>
        <w:widowControl w:val="0"/>
        <w:ind w:firstLine="709"/>
        <w:rPr>
          <w:rFonts w:ascii="Times New Roman" w:eastAsia="Calibri" w:hAnsi="Times New Roman"/>
          <w:sz w:val="28"/>
          <w:szCs w:val="28"/>
          <w:lang w:eastAsia="en-US"/>
        </w:rPr>
      </w:pPr>
      <w:bookmarkStart w:id="10" w:name="n13"/>
      <w:bookmarkEnd w:id="10"/>
      <w:r w:rsidRPr="00A662F1">
        <w:rPr>
          <w:rFonts w:ascii="Times New Roman" w:eastAsia="Calibri" w:hAnsi="Times New Roman"/>
          <w:sz w:val="28"/>
          <w:szCs w:val="28"/>
          <w:lang w:eastAsia="en-US"/>
        </w:rPr>
        <w:t xml:space="preserve">забезпечити перегляд та приведення міністерствами та іншими центральними органами виконавчої влади їх нормативно-правових актів </w:t>
      </w:r>
      <w:r w:rsidR="00E568C4">
        <w:rPr>
          <w:rFonts w:ascii="Times New Roman" w:eastAsia="Calibri" w:hAnsi="Times New Roman"/>
          <w:sz w:val="28"/>
          <w:szCs w:val="28"/>
          <w:lang w:eastAsia="en-US"/>
        </w:rPr>
        <w:t xml:space="preserve"> </w:t>
      </w:r>
      <w:r w:rsidR="00DF0DBA">
        <w:rPr>
          <w:rFonts w:ascii="Times New Roman" w:eastAsia="Calibri" w:hAnsi="Times New Roman"/>
          <w:sz w:val="28"/>
          <w:szCs w:val="28"/>
          <w:lang w:eastAsia="en-US"/>
        </w:rPr>
        <w:t xml:space="preserve">    </w:t>
      </w:r>
      <w:r w:rsidR="00E568C4">
        <w:rPr>
          <w:rFonts w:ascii="Times New Roman" w:eastAsia="Calibri" w:hAnsi="Times New Roman"/>
          <w:sz w:val="28"/>
          <w:szCs w:val="28"/>
          <w:lang w:eastAsia="en-US"/>
        </w:rPr>
        <w:t xml:space="preserve">      </w:t>
      </w:r>
      <w:r w:rsidRPr="00A662F1">
        <w:rPr>
          <w:rFonts w:ascii="Times New Roman" w:eastAsia="Calibri" w:hAnsi="Times New Roman"/>
          <w:sz w:val="28"/>
          <w:szCs w:val="28"/>
          <w:lang w:eastAsia="en-US"/>
        </w:rPr>
        <w:t>у відповідність із цим Законом.</w:t>
      </w:r>
    </w:p>
    <w:p w:rsidR="004A0524" w:rsidRPr="00DF0DBA" w:rsidRDefault="004A0524" w:rsidP="00DF0DBA">
      <w:pPr>
        <w:pStyle w:val="a3"/>
        <w:widowControl w:val="0"/>
        <w:spacing w:before="0"/>
        <w:ind w:firstLine="0"/>
        <w:jc w:val="center"/>
        <w:rPr>
          <w:rFonts w:ascii="Times New Roman" w:hAnsi="Times New Roman"/>
          <w:sz w:val="28"/>
          <w:szCs w:val="28"/>
        </w:rPr>
      </w:pPr>
    </w:p>
    <w:p w:rsidR="00E568C4" w:rsidRPr="00DF0DBA" w:rsidRDefault="00E568C4" w:rsidP="00B514D3">
      <w:pPr>
        <w:pStyle w:val="a3"/>
        <w:widowControl w:val="0"/>
        <w:spacing w:before="0"/>
        <w:ind w:firstLine="0"/>
        <w:jc w:val="center"/>
        <w:rPr>
          <w:rFonts w:ascii="Times New Roman" w:hAnsi="Times New Roman"/>
          <w:sz w:val="28"/>
          <w:szCs w:val="28"/>
        </w:rPr>
      </w:pPr>
    </w:p>
    <w:p w:rsidR="005D4CE2" w:rsidRPr="00A662F1" w:rsidRDefault="00692CAD" w:rsidP="00B514D3">
      <w:pPr>
        <w:pStyle w:val="a3"/>
        <w:widowControl w:val="0"/>
        <w:spacing w:before="0"/>
        <w:ind w:firstLine="0"/>
        <w:jc w:val="center"/>
        <w:rPr>
          <w:rFonts w:ascii="Times New Roman" w:hAnsi="Times New Roman"/>
          <w:sz w:val="28"/>
          <w:szCs w:val="28"/>
        </w:rPr>
      </w:pPr>
      <w:r w:rsidRPr="00A662F1">
        <w:rPr>
          <w:rFonts w:ascii="Times New Roman" w:hAnsi="Times New Roman"/>
          <w:b/>
          <w:sz w:val="28"/>
          <w:szCs w:val="28"/>
        </w:rPr>
        <w:t>Г</w:t>
      </w:r>
      <w:r w:rsidR="007E6515" w:rsidRPr="00A662F1">
        <w:rPr>
          <w:rFonts w:ascii="Times New Roman" w:hAnsi="Times New Roman"/>
          <w:b/>
          <w:sz w:val="28"/>
          <w:szCs w:val="28"/>
        </w:rPr>
        <w:t xml:space="preserve">олова </w:t>
      </w:r>
      <w:r w:rsidR="007E6515" w:rsidRPr="00A662F1">
        <w:rPr>
          <w:rFonts w:ascii="Times New Roman" w:hAnsi="Times New Roman"/>
          <w:b/>
          <w:sz w:val="28"/>
          <w:szCs w:val="28"/>
        </w:rPr>
        <w:br/>
        <w:t>Верховної Ради України</w:t>
      </w:r>
    </w:p>
    <w:sectPr w:rsidR="005D4CE2" w:rsidRPr="00A662F1" w:rsidSect="00E568C4">
      <w:headerReference w:type="even" r:id="rId15"/>
      <w:headerReference w:type="default" r:id="rId16"/>
      <w:pgSz w:w="11906" w:h="16838" w:code="9"/>
      <w:pgMar w:top="1134" w:right="851" w:bottom="1134"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B8A" w:rsidRDefault="00933B8A">
      <w:r>
        <w:separator/>
      </w:r>
    </w:p>
  </w:endnote>
  <w:endnote w:type="continuationSeparator" w:id="0">
    <w:p w:rsidR="00933B8A" w:rsidRDefault="00933B8A">
      <w:r>
        <w:continuationSeparator/>
      </w:r>
    </w:p>
  </w:endnote>
  <w:endnote w:type="continuationNotice" w:id="1">
    <w:p w:rsidR="00933B8A" w:rsidRDefault="00933B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B8A" w:rsidRDefault="00933B8A">
      <w:r>
        <w:separator/>
      </w:r>
    </w:p>
  </w:footnote>
  <w:footnote w:type="continuationSeparator" w:id="0">
    <w:p w:rsidR="00933B8A" w:rsidRDefault="00933B8A">
      <w:r>
        <w:continuationSeparator/>
      </w:r>
    </w:p>
  </w:footnote>
  <w:footnote w:type="continuationNotice" w:id="1">
    <w:p w:rsidR="00933B8A" w:rsidRDefault="00933B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841" w:rsidRDefault="00446841">
    <w:pPr>
      <w:framePr w:wrap="around" w:vAnchor="text" w:hAnchor="margin" w:xAlign="center" w:y="1"/>
    </w:pPr>
    <w:r>
      <w:fldChar w:fldCharType="begin"/>
    </w:r>
    <w:r>
      <w:instrText xml:space="preserve">PAGE  </w:instrText>
    </w:r>
    <w:r>
      <w:fldChar w:fldCharType="separate"/>
    </w:r>
    <w:r>
      <w:rPr>
        <w:noProof/>
      </w:rPr>
      <w:t>1</w:t>
    </w:r>
    <w:r>
      <w:fldChar w:fldCharType="end"/>
    </w:r>
  </w:p>
  <w:p w:rsidR="00446841" w:rsidRDefault="004468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841" w:rsidRPr="00E568C4" w:rsidRDefault="00446841">
    <w:pPr>
      <w:framePr w:wrap="around" w:vAnchor="text" w:hAnchor="margin" w:xAlign="center" w:y="1"/>
      <w:rPr>
        <w:sz w:val="28"/>
        <w:szCs w:val="28"/>
      </w:rPr>
    </w:pPr>
    <w:r w:rsidRPr="00E568C4">
      <w:rPr>
        <w:sz w:val="28"/>
        <w:szCs w:val="28"/>
      </w:rPr>
      <w:fldChar w:fldCharType="begin"/>
    </w:r>
    <w:r w:rsidRPr="00E568C4">
      <w:rPr>
        <w:sz w:val="28"/>
        <w:szCs w:val="28"/>
      </w:rPr>
      <w:instrText xml:space="preserve">PAGE  </w:instrText>
    </w:r>
    <w:r w:rsidRPr="00E568C4">
      <w:rPr>
        <w:sz w:val="28"/>
        <w:szCs w:val="28"/>
      </w:rPr>
      <w:fldChar w:fldCharType="separate"/>
    </w:r>
    <w:r w:rsidR="00205689">
      <w:rPr>
        <w:noProof/>
        <w:sz w:val="28"/>
        <w:szCs w:val="28"/>
      </w:rPr>
      <w:t>4</w:t>
    </w:r>
    <w:r w:rsidRPr="00E568C4">
      <w:rPr>
        <w:sz w:val="28"/>
        <w:szCs w:val="28"/>
      </w:rPr>
      <w:fldChar w:fldCharType="end"/>
    </w:r>
  </w:p>
  <w:p w:rsidR="00446841" w:rsidRDefault="00446841">
    <w:pPr>
      <w:rPr>
        <w:sz w:val="28"/>
        <w:szCs w:val="28"/>
      </w:rPr>
    </w:pPr>
  </w:p>
  <w:p w:rsidR="00E568C4" w:rsidRPr="00E568C4" w:rsidRDefault="00E568C4">
    <w:pP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515"/>
    <w:rsid w:val="00020C8C"/>
    <w:rsid w:val="00032302"/>
    <w:rsid w:val="00036082"/>
    <w:rsid w:val="0005550E"/>
    <w:rsid w:val="00063521"/>
    <w:rsid w:val="00063F77"/>
    <w:rsid w:val="00096122"/>
    <w:rsid w:val="000B495D"/>
    <w:rsid w:val="000B7086"/>
    <w:rsid w:val="000E7F4A"/>
    <w:rsid w:val="00104782"/>
    <w:rsid w:val="00104D36"/>
    <w:rsid w:val="00116677"/>
    <w:rsid w:val="00130439"/>
    <w:rsid w:val="00181263"/>
    <w:rsid w:val="001955E8"/>
    <w:rsid w:val="001B106F"/>
    <w:rsid w:val="001C68A6"/>
    <w:rsid w:val="001D1870"/>
    <w:rsid w:val="001E0E45"/>
    <w:rsid w:val="001E6B38"/>
    <w:rsid w:val="0020428D"/>
    <w:rsid w:val="00205689"/>
    <w:rsid w:val="00223BA1"/>
    <w:rsid w:val="00232BD0"/>
    <w:rsid w:val="00232CD9"/>
    <w:rsid w:val="00234560"/>
    <w:rsid w:val="00241FAC"/>
    <w:rsid w:val="00250B1D"/>
    <w:rsid w:val="0025121C"/>
    <w:rsid w:val="002700A2"/>
    <w:rsid w:val="00271FB9"/>
    <w:rsid w:val="002766D6"/>
    <w:rsid w:val="002976C3"/>
    <w:rsid w:val="002A0040"/>
    <w:rsid w:val="002A53ED"/>
    <w:rsid w:val="002B0CB0"/>
    <w:rsid w:val="002C3852"/>
    <w:rsid w:val="002E4B83"/>
    <w:rsid w:val="003024C9"/>
    <w:rsid w:val="0032587E"/>
    <w:rsid w:val="00334AC2"/>
    <w:rsid w:val="00337D8B"/>
    <w:rsid w:val="00343474"/>
    <w:rsid w:val="00343804"/>
    <w:rsid w:val="00354BC5"/>
    <w:rsid w:val="00357F4C"/>
    <w:rsid w:val="003674BB"/>
    <w:rsid w:val="00370B9F"/>
    <w:rsid w:val="00373B44"/>
    <w:rsid w:val="00375851"/>
    <w:rsid w:val="00376BBE"/>
    <w:rsid w:val="003A030B"/>
    <w:rsid w:val="003D0D68"/>
    <w:rsid w:val="003D386F"/>
    <w:rsid w:val="0040000B"/>
    <w:rsid w:val="004075F4"/>
    <w:rsid w:val="00415E7F"/>
    <w:rsid w:val="004248C7"/>
    <w:rsid w:val="00446841"/>
    <w:rsid w:val="00447242"/>
    <w:rsid w:val="00455461"/>
    <w:rsid w:val="00461C9A"/>
    <w:rsid w:val="00481125"/>
    <w:rsid w:val="00492E92"/>
    <w:rsid w:val="004A0524"/>
    <w:rsid w:val="004A43F9"/>
    <w:rsid w:val="004B2F34"/>
    <w:rsid w:val="004C1AB3"/>
    <w:rsid w:val="004C79EE"/>
    <w:rsid w:val="004E48D9"/>
    <w:rsid w:val="004E589D"/>
    <w:rsid w:val="004F6CF2"/>
    <w:rsid w:val="005029B9"/>
    <w:rsid w:val="00507C6C"/>
    <w:rsid w:val="0051670E"/>
    <w:rsid w:val="00523A1F"/>
    <w:rsid w:val="00525B50"/>
    <w:rsid w:val="005303EA"/>
    <w:rsid w:val="00536E7A"/>
    <w:rsid w:val="005373A5"/>
    <w:rsid w:val="00543503"/>
    <w:rsid w:val="0057315E"/>
    <w:rsid w:val="00575901"/>
    <w:rsid w:val="005811DB"/>
    <w:rsid w:val="00592C49"/>
    <w:rsid w:val="005A29C5"/>
    <w:rsid w:val="005B0A66"/>
    <w:rsid w:val="005B5E83"/>
    <w:rsid w:val="005B6CFF"/>
    <w:rsid w:val="005D4CE2"/>
    <w:rsid w:val="005F120B"/>
    <w:rsid w:val="005F459C"/>
    <w:rsid w:val="0061098E"/>
    <w:rsid w:val="00630CE7"/>
    <w:rsid w:val="0066566E"/>
    <w:rsid w:val="006714AA"/>
    <w:rsid w:val="00680C1E"/>
    <w:rsid w:val="0068393E"/>
    <w:rsid w:val="00684375"/>
    <w:rsid w:val="00685C85"/>
    <w:rsid w:val="00692CAD"/>
    <w:rsid w:val="00692E0E"/>
    <w:rsid w:val="006B19C5"/>
    <w:rsid w:val="006C40D5"/>
    <w:rsid w:val="006E013E"/>
    <w:rsid w:val="006F1316"/>
    <w:rsid w:val="006F67ED"/>
    <w:rsid w:val="00700C44"/>
    <w:rsid w:val="00702A8C"/>
    <w:rsid w:val="00716EBE"/>
    <w:rsid w:val="00730642"/>
    <w:rsid w:val="00730978"/>
    <w:rsid w:val="00736BCB"/>
    <w:rsid w:val="007445CA"/>
    <w:rsid w:val="00754B52"/>
    <w:rsid w:val="00781D2E"/>
    <w:rsid w:val="00792207"/>
    <w:rsid w:val="00796DB0"/>
    <w:rsid w:val="007A4CD3"/>
    <w:rsid w:val="007C601C"/>
    <w:rsid w:val="007D005F"/>
    <w:rsid w:val="007D1546"/>
    <w:rsid w:val="007E6515"/>
    <w:rsid w:val="007F2AE9"/>
    <w:rsid w:val="007F6BBB"/>
    <w:rsid w:val="008122F8"/>
    <w:rsid w:val="00813CAC"/>
    <w:rsid w:val="00817C93"/>
    <w:rsid w:val="0082687E"/>
    <w:rsid w:val="00832FC4"/>
    <w:rsid w:val="00837A44"/>
    <w:rsid w:val="00854C12"/>
    <w:rsid w:val="00867B2D"/>
    <w:rsid w:val="008707BE"/>
    <w:rsid w:val="00894BBB"/>
    <w:rsid w:val="008D4CE3"/>
    <w:rsid w:val="008E0928"/>
    <w:rsid w:val="008E2C39"/>
    <w:rsid w:val="008F1CC0"/>
    <w:rsid w:val="008F2CCF"/>
    <w:rsid w:val="0091193E"/>
    <w:rsid w:val="00931026"/>
    <w:rsid w:val="00932F39"/>
    <w:rsid w:val="00933B8A"/>
    <w:rsid w:val="0093426E"/>
    <w:rsid w:val="00936A39"/>
    <w:rsid w:val="00942BED"/>
    <w:rsid w:val="00943421"/>
    <w:rsid w:val="009463E8"/>
    <w:rsid w:val="0095017E"/>
    <w:rsid w:val="009651FE"/>
    <w:rsid w:val="00984689"/>
    <w:rsid w:val="009A0E8F"/>
    <w:rsid w:val="009A7463"/>
    <w:rsid w:val="009B7D73"/>
    <w:rsid w:val="009C7F16"/>
    <w:rsid w:val="009D58EA"/>
    <w:rsid w:val="009E02D9"/>
    <w:rsid w:val="009E2804"/>
    <w:rsid w:val="009F7F40"/>
    <w:rsid w:val="00A14738"/>
    <w:rsid w:val="00A1661C"/>
    <w:rsid w:val="00A301D2"/>
    <w:rsid w:val="00A321B4"/>
    <w:rsid w:val="00A33B51"/>
    <w:rsid w:val="00A4626C"/>
    <w:rsid w:val="00A52C71"/>
    <w:rsid w:val="00A52DD3"/>
    <w:rsid w:val="00A6237C"/>
    <w:rsid w:val="00A662F1"/>
    <w:rsid w:val="00A70789"/>
    <w:rsid w:val="00A83B93"/>
    <w:rsid w:val="00A84C29"/>
    <w:rsid w:val="00AA00F9"/>
    <w:rsid w:val="00AB2C3C"/>
    <w:rsid w:val="00AB35BC"/>
    <w:rsid w:val="00AD301D"/>
    <w:rsid w:val="00AD698C"/>
    <w:rsid w:val="00B16040"/>
    <w:rsid w:val="00B20BEF"/>
    <w:rsid w:val="00B21225"/>
    <w:rsid w:val="00B514D3"/>
    <w:rsid w:val="00B530A6"/>
    <w:rsid w:val="00B602C0"/>
    <w:rsid w:val="00B620AC"/>
    <w:rsid w:val="00B729C1"/>
    <w:rsid w:val="00B75A73"/>
    <w:rsid w:val="00B90907"/>
    <w:rsid w:val="00B93268"/>
    <w:rsid w:val="00BA0E4D"/>
    <w:rsid w:val="00BC4FBF"/>
    <w:rsid w:val="00BC627C"/>
    <w:rsid w:val="00C14A44"/>
    <w:rsid w:val="00C21CA7"/>
    <w:rsid w:val="00C25151"/>
    <w:rsid w:val="00C32E22"/>
    <w:rsid w:val="00C3523F"/>
    <w:rsid w:val="00C36DFC"/>
    <w:rsid w:val="00C4420F"/>
    <w:rsid w:val="00C60601"/>
    <w:rsid w:val="00C73DDF"/>
    <w:rsid w:val="00C87EAF"/>
    <w:rsid w:val="00C903D4"/>
    <w:rsid w:val="00C90EBC"/>
    <w:rsid w:val="00C92A73"/>
    <w:rsid w:val="00CA1C94"/>
    <w:rsid w:val="00CB0A24"/>
    <w:rsid w:val="00CB1985"/>
    <w:rsid w:val="00CC3E8D"/>
    <w:rsid w:val="00CD6337"/>
    <w:rsid w:val="00CE6246"/>
    <w:rsid w:val="00CE7B67"/>
    <w:rsid w:val="00CF0F57"/>
    <w:rsid w:val="00CF21CB"/>
    <w:rsid w:val="00D0540D"/>
    <w:rsid w:val="00D13317"/>
    <w:rsid w:val="00D16BE4"/>
    <w:rsid w:val="00D67576"/>
    <w:rsid w:val="00DA0665"/>
    <w:rsid w:val="00DD5ED1"/>
    <w:rsid w:val="00DE0B89"/>
    <w:rsid w:val="00DE1DE4"/>
    <w:rsid w:val="00DF0DBA"/>
    <w:rsid w:val="00DF3E83"/>
    <w:rsid w:val="00DF61C3"/>
    <w:rsid w:val="00E026A7"/>
    <w:rsid w:val="00E316F7"/>
    <w:rsid w:val="00E45920"/>
    <w:rsid w:val="00E53075"/>
    <w:rsid w:val="00E542F3"/>
    <w:rsid w:val="00E568C4"/>
    <w:rsid w:val="00E76DBB"/>
    <w:rsid w:val="00E87CC8"/>
    <w:rsid w:val="00E90D1E"/>
    <w:rsid w:val="00EA6DB4"/>
    <w:rsid w:val="00EB4627"/>
    <w:rsid w:val="00EB6BF0"/>
    <w:rsid w:val="00EE4DB3"/>
    <w:rsid w:val="00EF70D6"/>
    <w:rsid w:val="00EF7240"/>
    <w:rsid w:val="00F176C7"/>
    <w:rsid w:val="00F35BEA"/>
    <w:rsid w:val="00F425FB"/>
    <w:rsid w:val="00F635FB"/>
    <w:rsid w:val="00F67F29"/>
    <w:rsid w:val="00F83D08"/>
    <w:rsid w:val="00F94B8A"/>
    <w:rsid w:val="00FA5900"/>
    <w:rsid w:val="00FB03B5"/>
    <w:rsid w:val="00FB6C00"/>
    <w:rsid w:val="00FC3689"/>
    <w:rsid w:val="00FE611D"/>
    <w:rsid w:val="00FE6A06"/>
    <w:rsid w:val="00FF79F3"/>
  </w:rsids>
  <m:mathPr>
    <m:mathFont m:val="Cambria Math"/>
    <m:brkBin m:val="before"/>
    <m:brkBinSub m:val="--"/>
    <m:smallFrac m:val="0"/>
    <m:dispDef/>
    <m:lMargin m:val="0"/>
    <m:rMargin m:val="0"/>
    <m:defJc m:val="centerGroup"/>
    <m:wrapIndent m:val="1440"/>
    <m:intLim m:val="subSup"/>
    <m:naryLim m:val="undOvr"/>
  </m:mathPr>
  <w:themeFontLang w:val="uk-U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ACADEB-47B8-440C-A8C1-051E098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C3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link w:val="a4"/>
    <w:uiPriority w:val="99"/>
    <w:rsid w:val="007E6515"/>
    <w:pPr>
      <w:spacing w:before="120"/>
      <w:ind w:firstLine="567"/>
      <w:jc w:val="both"/>
    </w:pPr>
    <w:rPr>
      <w:rFonts w:ascii="Antiqua" w:hAnsi="Antiqua"/>
      <w:sz w:val="26"/>
      <w:szCs w:val="20"/>
      <w:lang w:val="uk-UA"/>
    </w:rPr>
  </w:style>
  <w:style w:type="paragraph" w:customStyle="1" w:styleId="a5">
    <w:name w:val="Установа"/>
    <w:basedOn w:val="a"/>
    <w:rsid w:val="007E6515"/>
    <w:pPr>
      <w:keepNext/>
      <w:keepLines/>
      <w:spacing w:before="120"/>
      <w:jc w:val="center"/>
    </w:pPr>
    <w:rPr>
      <w:rFonts w:ascii="Antiqua" w:hAnsi="Antiqua"/>
      <w:b/>
      <w:i/>
      <w:caps/>
      <w:sz w:val="48"/>
      <w:szCs w:val="20"/>
      <w:lang w:val="uk-UA"/>
    </w:rPr>
  </w:style>
  <w:style w:type="paragraph" w:customStyle="1" w:styleId="a6">
    <w:name w:val="Вид документа"/>
    <w:basedOn w:val="a5"/>
    <w:next w:val="a"/>
    <w:rsid w:val="007E6515"/>
    <w:pPr>
      <w:spacing w:before="0" w:after="240"/>
      <w:jc w:val="right"/>
    </w:pPr>
    <w:rPr>
      <w:b w:val="0"/>
      <w:i w:val="0"/>
      <w:caps w:val="0"/>
      <w:spacing w:val="20"/>
      <w:sz w:val="26"/>
    </w:rPr>
  </w:style>
  <w:style w:type="paragraph" w:styleId="a7">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8"/>
    <w:uiPriority w:val="99"/>
    <w:rsid w:val="008122F8"/>
    <w:pPr>
      <w:spacing w:before="100" w:beforeAutospacing="1" w:after="100" w:afterAutospacing="1"/>
    </w:pPr>
    <w:rPr>
      <w:rFonts w:eastAsia="Calibri"/>
      <w:lang w:eastAsia="uk-UA"/>
    </w:rPr>
  </w:style>
  <w:style w:type="character" w:customStyle="1" w:styleId="a8">
    <w:name w:val="Звичайний (веб) Знак"/>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7"/>
    <w:uiPriority w:val="99"/>
    <w:locked/>
    <w:rsid w:val="008122F8"/>
    <w:rPr>
      <w:rFonts w:ascii="Times New Roman" w:eastAsia="Calibri" w:hAnsi="Times New Roman" w:cs="Times New Roman"/>
      <w:sz w:val="24"/>
      <w:szCs w:val="24"/>
      <w:lang w:val="ru-RU" w:eastAsia="uk-UA"/>
    </w:rPr>
  </w:style>
  <w:style w:type="paragraph" w:styleId="a9">
    <w:name w:val="Balloon Text"/>
    <w:basedOn w:val="a"/>
    <w:link w:val="aa"/>
    <w:uiPriority w:val="99"/>
    <w:semiHidden/>
    <w:unhideWhenUsed/>
    <w:rsid w:val="00DE1DE4"/>
    <w:rPr>
      <w:rFonts w:ascii="Segoe UI" w:hAnsi="Segoe UI" w:cs="Segoe UI"/>
      <w:sz w:val="18"/>
      <w:szCs w:val="18"/>
      <w:lang w:val="uk-UA"/>
    </w:rPr>
  </w:style>
  <w:style w:type="character" w:customStyle="1" w:styleId="aa">
    <w:name w:val="Текст у виносці Знак"/>
    <w:basedOn w:val="a0"/>
    <w:link w:val="a9"/>
    <w:uiPriority w:val="99"/>
    <w:semiHidden/>
    <w:rsid w:val="00DE1DE4"/>
    <w:rPr>
      <w:rFonts w:ascii="Segoe UI" w:eastAsia="Times New Roman" w:hAnsi="Segoe UI" w:cs="Segoe UI"/>
      <w:sz w:val="18"/>
      <w:szCs w:val="18"/>
      <w:lang w:eastAsia="ru-RU"/>
    </w:rPr>
  </w:style>
  <w:style w:type="paragraph" w:customStyle="1" w:styleId="rvps2">
    <w:name w:val="rvps2"/>
    <w:basedOn w:val="a"/>
    <w:rsid w:val="00C4420F"/>
    <w:pPr>
      <w:spacing w:before="100" w:beforeAutospacing="1" w:after="100" w:afterAutospacing="1"/>
    </w:pPr>
    <w:rPr>
      <w:lang w:val="uk-UA" w:eastAsia="uk-UA"/>
    </w:rPr>
  </w:style>
  <w:style w:type="character" w:customStyle="1" w:styleId="rvts52">
    <w:name w:val="rvts52"/>
    <w:basedOn w:val="a0"/>
    <w:rsid w:val="00C4420F"/>
  </w:style>
  <w:style w:type="character" w:styleId="ab">
    <w:name w:val="Hyperlink"/>
    <w:basedOn w:val="a0"/>
    <w:uiPriority w:val="99"/>
    <w:semiHidden/>
    <w:unhideWhenUsed/>
    <w:rsid w:val="00C4420F"/>
    <w:rPr>
      <w:color w:val="0000FF"/>
      <w:u w:val="single"/>
    </w:rPr>
  </w:style>
  <w:style w:type="character" w:customStyle="1" w:styleId="rvts9">
    <w:name w:val="rvts9"/>
    <w:basedOn w:val="a0"/>
    <w:rsid w:val="002A53ED"/>
  </w:style>
  <w:style w:type="character" w:customStyle="1" w:styleId="rvts46">
    <w:name w:val="rvts46"/>
    <w:basedOn w:val="a0"/>
    <w:rsid w:val="00543503"/>
  </w:style>
  <w:style w:type="paragraph" w:styleId="ac">
    <w:name w:val="footer"/>
    <w:basedOn w:val="a"/>
    <w:link w:val="ad"/>
    <w:uiPriority w:val="99"/>
    <w:unhideWhenUsed/>
    <w:rsid w:val="00A70789"/>
    <w:pPr>
      <w:tabs>
        <w:tab w:val="center" w:pos="4844"/>
        <w:tab w:val="right" w:pos="9689"/>
      </w:tabs>
    </w:pPr>
    <w:rPr>
      <w:rFonts w:ascii="Antiqua" w:hAnsi="Antiqua"/>
      <w:sz w:val="26"/>
      <w:szCs w:val="20"/>
      <w:lang w:val="uk-UA"/>
    </w:rPr>
  </w:style>
  <w:style w:type="character" w:customStyle="1" w:styleId="ad">
    <w:name w:val="Нижній колонтитул Знак"/>
    <w:basedOn w:val="a0"/>
    <w:link w:val="ac"/>
    <w:uiPriority w:val="99"/>
    <w:rsid w:val="00A70789"/>
    <w:rPr>
      <w:rFonts w:ascii="Antiqua" w:eastAsia="Times New Roman" w:hAnsi="Antiqua" w:cs="Times New Roman"/>
      <w:sz w:val="26"/>
      <w:szCs w:val="20"/>
      <w:lang w:eastAsia="ru-RU"/>
    </w:rPr>
  </w:style>
  <w:style w:type="character" w:styleId="ae">
    <w:name w:val="annotation reference"/>
    <w:basedOn w:val="a0"/>
    <w:uiPriority w:val="99"/>
    <w:semiHidden/>
    <w:unhideWhenUsed/>
    <w:rsid w:val="00375851"/>
    <w:rPr>
      <w:sz w:val="16"/>
      <w:szCs w:val="16"/>
    </w:rPr>
  </w:style>
  <w:style w:type="paragraph" w:styleId="af">
    <w:name w:val="annotation text"/>
    <w:basedOn w:val="a"/>
    <w:link w:val="af0"/>
    <w:uiPriority w:val="99"/>
    <w:semiHidden/>
    <w:unhideWhenUsed/>
    <w:rsid w:val="00375851"/>
    <w:rPr>
      <w:rFonts w:ascii="Antiqua" w:hAnsi="Antiqua"/>
      <w:sz w:val="20"/>
      <w:szCs w:val="20"/>
      <w:lang w:val="uk-UA"/>
    </w:rPr>
  </w:style>
  <w:style w:type="character" w:customStyle="1" w:styleId="af0">
    <w:name w:val="Текст примітки Знак"/>
    <w:basedOn w:val="a0"/>
    <w:link w:val="af"/>
    <w:uiPriority w:val="99"/>
    <w:semiHidden/>
    <w:rsid w:val="00375851"/>
    <w:rPr>
      <w:rFonts w:ascii="Antiqua" w:eastAsia="Times New Roman" w:hAnsi="Antiqua" w:cs="Times New Roman"/>
      <w:sz w:val="20"/>
      <w:szCs w:val="20"/>
      <w:lang w:eastAsia="ru-RU"/>
    </w:rPr>
  </w:style>
  <w:style w:type="paragraph" w:styleId="af1">
    <w:name w:val="annotation subject"/>
    <w:basedOn w:val="af"/>
    <w:next w:val="af"/>
    <w:link w:val="af2"/>
    <w:uiPriority w:val="99"/>
    <w:semiHidden/>
    <w:unhideWhenUsed/>
    <w:rsid w:val="00375851"/>
    <w:rPr>
      <w:b/>
      <w:bCs/>
    </w:rPr>
  </w:style>
  <w:style w:type="character" w:customStyle="1" w:styleId="af2">
    <w:name w:val="Тема примітки Знак"/>
    <w:basedOn w:val="af0"/>
    <w:link w:val="af1"/>
    <w:uiPriority w:val="99"/>
    <w:semiHidden/>
    <w:rsid w:val="00375851"/>
    <w:rPr>
      <w:rFonts w:ascii="Antiqua" w:eastAsia="Times New Roman" w:hAnsi="Antiqua" w:cs="Times New Roman"/>
      <w:b/>
      <w:bCs/>
      <w:sz w:val="20"/>
      <w:szCs w:val="20"/>
      <w:lang w:eastAsia="ru-RU"/>
    </w:rPr>
  </w:style>
  <w:style w:type="character" w:customStyle="1" w:styleId="rvts37">
    <w:name w:val="rvts37"/>
    <w:basedOn w:val="a0"/>
    <w:rsid w:val="0082687E"/>
  </w:style>
  <w:style w:type="character" w:customStyle="1" w:styleId="a4">
    <w:name w:val="Нормальний текст Знак"/>
    <w:link w:val="a3"/>
    <w:uiPriority w:val="99"/>
    <w:locked/>
    <w:rsid w:val="00FA5900"/>
    <w:rPr>
      <w:rFonts w:ascii="Antiqua" w:eastAsia="Times New Roman" w:hAnsi="Antiqua" w:cs="Times New Roman"/>
      <w:sz w:val="26"/>
      <w:szCs w:val="20"/>
      <w:lang w:eastAsia="ru-RU"/>
    </w:rPr>
  </w:style>
  <w:style w:type="paragraph" w:styleId="af3">
    <w:name w:val="header"/>
    <w:basedOn w:val="a"/>
    <w:link w:val="af4"/>
    <w:uiPriority w:val="99"/>
    <w:unhideWhenUsed/>
    <w:rsid w:val="00E568C4"/>
    <w:pPr>
      <w:tabs>
        <w:tab w:val="center" w:pos="4819"/>
        <w:tab w:val="right" w:pos="9639"/>
      </w:tabs>
    </w:pPr>
  </w:style>
  <w:style w:type="character" w:customStyle="1" w:styleId="af4">
    <w:name w:val="Верхній колонтитул Знак"/>
    <w:basedOn w:val="a0"/>
    <w:link w:val="af3"/>
    <w:uiPriority w:val="99"/>
    <w:rsid w:val="00E568C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3381">
      <w:bodyDiv w:val="1"/>
      <w:marLeft w:val="0"/>
      <w:marRight w:val="0"/>
      <w:marTop w:val="0"/>
      <w:marBottom w:val="0"/>
      <w:divBdr>
        <w:top w:val="none" w:sz="0" w:space="0" w:color="auto"/>
        <w:left w:val="none" w:sz="0" w:space="0" w:color="auto"/>
        <w:bottom w:val="none" w:sz="0" w:space="0" w:color="auto"/>
        <w:right w:val="none" w:sz="0" w:space="0" w:color="auto"/>
      </w:divBdr>
    </w:div>
    <w:div w:id="380254109">
      <w:bodyDiv w:val="1"/>
      <w:marLeft w:val="0"/>
      <w:marRight w:val="0"/>
      <w:marTop w:val="0"/>
      <w:marBottom w:val="0"/>
      <w:divBdr>
        <w:top w:val="none" w:sz="0" w:space="0" w:color="auto"/>
        <w:left w:val="none" w:sz="0" w:space="0" w:color="auto"/>
        <w:bottom w:val="none" w:sz="0" w:space="0" w:color="auto"/>
        <w:right w:val="none" w:sz="0" w:space="0" w:color="auto"/>
      </w:divBdr>
    </w:div>
    <w:div w:id="877164583">
      <w:bodyDiv w:val="1"/>
      <w:marLeft w:val="0"/>
      <w:marRight w:val="0"/>
      <w:marTop w:val="0"/>
      <w:marBottom w:val="0"/>
      <w:divBdr>
        <w:top w:val="none" w:sz="0" w:space="0" w:color="auto"/>
        <w:left w:val="none" w:sz="0" w:space="0" w:color="auto"/>
        <w:bottom w:val="none" w:sz="0" w:space="0" w:color="auto"/>
        <w:right w:val="none" w:sz="0" w:space="0" w:color="auto"/>
      </w:divBdr>
    </w:div>
    <w:div w:id="1021124047">
      <w:bodyDiv w:val="1"/>
      <w:marLeft w:val="0"/>
      <w:marRight w:val="0"/>
      <w:marTop w:val="0"/>
      <w:marBottom w:val="0"/>
      <w:divBdr>
        <w:top w:val="none" w:sz="0" w:space="0" w:color="auto"/>
        <w:left w:val="none" w:sz="0" w:space="0" w:color="auto"/>
        <w:bottom w:val="none" w:sz="0" w:space="0" w:color="auto"/>
        <w:right w:val="none" w:sz="0" w:space="0" w:color="auto"/>
      </w:divBdr>
    </w:div>
    <w:div w:id="1031035905">
      <w:bodyDiv w:val="1"/>
      <w:marLeft w:val="0"/>
      <w:marRight w:val="0"/>
      <w:marTop w:val="0"/>
      <w:marBottom w:val="0"/>
      <w:divBdr>
        <w:top w:val="none" w:sz="0" w:space="0" w:color="auto"/>
        <w:left w:val="none" w:sz="0" w:space="0" w:color="auto"/>
        <w:bottom w:val="none" w:sz="0" w:space="0" w:color="auto"/>
        <w:right w:val="none" w:sz="0" w:space="0" w:color="auto"/>
      </w:divBdr>
    </w:div>
    <w:div w:id="1043746996">
      <w:bodyDiv w:val="1"/>
      <w:marLeft w:val="0"/>
      <w:marRight w:val="0"/>
      <w:marTop w:val="0"/>
      <w:marBottom w:val="0"/>
      <w:divBdr>
        <w:top w:val="none" w:sz="0" w:space="0" w:color="auto"/>
        <w:left w:val="none" w:sz="0" w:space="0" w:color="auto"/>
        <w:bottom w:val="none" w:sz="0" w:space="0" w:color="auto"/>
        <w:right w:val="none" w:sz="0" w:space="0" w:color="auto"/>
      </w:divBdr>
    </w:div>
    <w:div w:id="1056510152">
      <w:bodyDiv w:val="1"/>
      <w:marLeft w:val="0"/>
      <w:marRight w:val="0"/>
      <w:marTop w:val="0"/>
      <w:marBottom w:val="0"/>
      <w:divBdr>
        <w:top w:val="none" w:sz="0" w:space="0" w:color="auto"/>
        <w:left w:val="none" w:sz="0" w:space="0" w:color="auto"/>
        <w:bottom w:val="none" w:sz="0" w:space="0" w:color="auto"/>
        <w:right w:val="none" w:sz="0" w:space="0" w:color="auto"/>
      </w:divBdr>
    </w:div>
    <w:div w:id="1764373924">
      <w:bodyDiv w:val="1"/>
      <w:marLeft w:val="0"/>
      <w:marRight w:val="0"/>
      <w:marTop w:val="0"/>
      <w:marBottom w:val="0"/>
      <w:divBdr>
        <w:top w:val="none" w:sz="0" w:space="0" w:color="auto"/>
        <w:left w:val="none" w:sz="0" w:space="0" w:color="auto"/>
        <w:bottom w:val="none" w:sz="0" w:space="0" w:color="auto"/>
        <w:right w:val="none" w:sz="0" w:space="0" w:color="auto"/>
      </w:divBdr>
    </w:div>
    <w:div w:id="185954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495-17" TargetMode="External"/><Relationship Id="rId13" Type="http://schemas.openxmlformats.org/officeDocument/2006/relationships/hyperlink" Target="https://zakon.rada.gov.ua/laws/show/2755-1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755-17" TargetMode="External"/><Relationship Id="rId12" Type="http://schemas.openxmlformats.org/officeDocument/2006/relationships/hyperlink" Target="https://zakon.rada.gov.ua/laws/show/2755-1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755-17"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2755-17" TargetMode="External"/><Relationship Id="rId4" Type="http://schemas.openxmlformats.org/officeDocument/2006/relationships/webSettings" Target="webSettings.xml"/><Relationship Id="rId9" Type="http://schemas.openxmlformats.org/officeDocument/2006/relationships/hyperlink" Target="https://zakon.rada.gov.ua/laws/show/4495-17" TargetMode="External"/><Relationship Id="rId14"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C2793-93E8-4B90-9F98-F5473DDCE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6738</Words>
  <Characters>3842</Characters>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10559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2020-06-30T09:13:00Z</cp:lastPrinted>
  <dcterms:created xsi:type="dcterms:W3CDTF">2020-06-19T13:14:00Z</dcterms:created>
  <dcterms:modified xsi:type="dcterms:W3CDTF">2020-06-30T09:13:00Z</dcterms:modified>
</cp:coreProperties>
</file>