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BCE" w:rsidRDefault="00401BCE" w:rsidP="00E63963">
      <w:pPr>
        <w:spacing w:before="60" w:after="60" w:line="240" w:lineRule="auto"/>
        <w:jc w:val="center"/>
        <w:rPr>
          <w:rFonts w:ascii="Times New Roman" w:hAnsi="Times New Roman"/>
          <w:b/>
          <w:sz w:val="28"/>
          <w:lang w:eastAsia="ru-RU"/>
        </w:rPr>
      </w:pPr>
      <w:r w:rsidRPr="00E63963">
        <w:rPr>
          <w:rFonts w:ascii="Times New Roman" w:hAnsi="Times New Roman"/>
          <w:b/>
          <w:sz w:val="28"/>
          <w:lang w:eastAsia="ru-RU"/>
        </w:rPr>
        <w:t>ПОЯСНЮВАЛЬНА ЗАПИСКА</w:t>
      </w:r>
    </w:p>
    <w:p w:rsidR="00D36740" w:rsidRDefault="00401BCE" w:rsidP="00AB340A">
      <w:pPr>
        <w:spacing w:before="60" w:after="60" w:line="240" w:lineRule="auto"/>
        <w:jc w:val="center"/>
        <w:rPr>
          <w:rFonts w:ascii="Times New Roman" w:hAnsi="Times New Roman"/>
          <w:b/>
          <w:sz w:val="28"/>
          <w:lang w:eastAsia="ru-RU"/>
        </w:rPr>
      </w:pPr>
      <w:bookmarkStart w:id="0" w:name="o939"/>
      <w:bookmarkEnd w:id="0"/>
      <w:r w:rsidRPr="00E63963">
        <w:rPr>
          <w:rFonts w:ascii="Times New Roman" w:hAnsi="Times New Roman"/>
          <w:b/>
          <w:sz w:val="28"/>
          <w:lang w:eastAsia="ru-RU"/>
        </w:rPr>
        <w:t xml:space="preserve">до проекту Закону </w:t>
      </w:r>
      <w:r w:rsidR="00401FE5">
        <w:rPr>
          <w:rFonts w:ascii="Times New Roman" w:hAnsi="Times New Roman"/>
          <w:b/>
          <w:sz w:val="28"/>
          <w:lang w:eastAsia="ru-RU"/>
        </w:rPr>
        <w:t>України</w:t>
      </w:r>
      <w:r w:rsidR="00166521" w:rsidRPr="00166521">
        <w:rPr>
          <w:rFonts w:ascii="Times New Roman" w:hAnsi="Times New Roman"/>
          <w:b/>
          <w:sz w:val="28"/>
          <w:lang w:val="ru-RU" w:eastAsia="ru-RU"/>
        </w:rPr>
        <w:t xml:space="preserve"> </w:t>
      </w:r>
      <w:r w:rsidR="00401FE5">
        <w:rPr>
          <w:rFonts w:ascii="Times New Roman" w:hAnsi="Times New Roman"/>
          <w:b/>
          <w:sz w:val="28"/>
          <w:lang w:eastAsia="ru-RU"/>
        </w:rPr>
        <w:t>«П</w:t>
      </w:r>
      <w:r w:rsidR="00EF232B" w:rsidRPr="00EF232B">
        <w:rPr>
          <w:rFonts w:ascii="Times New Roman" w:hAnsi="Times New Roman"/>
          <w:b/>
          <w:sz w:val="28"/>
          <w:lang w:eastAsia="ru-RU"/>
        </w:rPr>
        <w:t xml:space="preserve">ро внесення змін </w:t>
      </w:r>
      <w:r w:rsidR="00401FE5">
        <w:rPr>
          <w:rFonts w:ascii="Times New Roman" w:hAnsi="Times New Roman"/>
          <w:b/>
          <w:sz w:val="28"/>
          <w:lang w:eastAsia="ru-RU"/>
        </w:rPr>
        <w:t>до деяких</w:t>
      </w:r>
      <w:r w:rsidR="00EF232B" w:rsidRPr="00EF232B">
        <w:rPr>
          <w:rFonts w:ascii="Times New Roman" w:hAnsi="Times New Roman"/>
          <w:b/>
          <w:sz w:val="28"/>
          <w:lang w:eastAsia="ru-RU"/>
        </w:rPr>
        <w:t xml:space="preserve"> закон</w:t>
      </w:r>
      <w:r w:rsidR="00401FE5">
        <w:rPr>
          <w:rFonts w:ascii="Times New Roman" w:hAnsi="Times New Roman"/>
          <w:b/>
          <w:sz w:val="28"/>
          <w:lang w:eastAsia="ru-RU"/>
        </w:rPr>
        <w:t>ів</w:t>
      </w:r>
      <w:r w:rsidR="00EF232B" w:rsidRPr="00EF232B">
        <w:rPr>
          <w:rFonts w:ascii="Times New Roman" w:hAnsi="Times New Roman"/>
          <w:b/>
          <w:sz w:val="28"/>
          <w:lang w:eastAsia="ru-RU"/>
        </w:rPr>
        <w:t xml:space="preserve"> України щодо </w:t>
      </w:r>
      <w:r w:rsidR="00401FE5">
        <w:rPr>
          <w:rFonts w:ascii="Times New Roman" w:hAnsi="Times New Roman"/>
          <w:b/>
          <w:sz w:val="28"/>
          <w:lang w:eastAsia="ru-RU"/>
        </w:rPr>
        <w:t xml:space="preserve">удосконалення умов підтримки виробництва електричної енергії з альтернативних джерел енергії» </w:t>
      </w:r>
    </w:p>
    <w:p w:rsidR="00166521" w:rsidRDefault="00166521" w:rsidP="00AB340A">
      <w:pPr>
        <w:spacing w:before="60" w:after="60" w:line="240" w:lineRule="auto"/>
        <w:jc w:val="center"/>
        <w:rPr>
          <w:rFonts w:ascii="Times New Roman" w:hAnsi="Times New Roman"/>
          <w:b/>
          <w:sz w:val="28"/>
          <w:lang w:eastAsia="ru-RU"/>
        </w:rPr>
      </w:pPr>
    </w:p>
    <w:p w:rsidR="00401BCE" w:rsidRPr="00E63963" w:rsidRDefault="00401BCE" w:rsidP="00E14521">
      <w:pPr>
        <w:spacing w:after="120" w:line="240" w:lineRule="auto"/>
        <w:ind w:firstLine="708"/>
        <w:jc w:val="both"/>
        <w:rPr>
          <w:rFonts w:ascii="Times New Roman" w:hAnsi="Times New Roman"/>
          <w:b/>
          <w:sz w:val="28"/>
          <w:lang w:eastAsia="ru-RU"/>
        </w:rPr>
      </w:pPr>
      <w:bookmarkStart w:id="1" w:name="o940"/>
      <w:bookmarkEnd w:id="1"/>
      <w:r w:rsidRPr="00E63963">
        <w:rPr>
          <w:rFonts w:ascii="Times New Roman" w:hAnsi="Times New Roman"/>
          <w:b/>
          <w:sz w:val="28"/>
          <w:lang w:eastAsia="ru-RU"/>
        </w:rPr>
        <w:t xml:space="preserve">1. </w:t>
      </w:r>
      <w:r w:rsidRPr="00C573CF">
        <w:rPr>
          <w:rFonts w:ascii="Times New Roman" w:hAnsi="Times New Roman"/>
          <w:b/>
          <w:sz w:val="28"/>
          <w:lang w:eastAsia="ru-RU"/>
        </w:rPr>
        <w:t>Обґрунтування</w:t>
      </w:r>
      <w:r w:rsidRPr="00E63963">
        <w:rPr>
          <w:rFonts w:ascii="Times New Roman" w:hAnsi="Times New Roman"/>
          <w:b/>
          <w:sz w:val="28"/>
          <w:lang w:eastAsia="ru-RU"/>
        </w:rPr>
        <w:t xml:space="preserve"> необхідності прийняття </w:t>
      </w:r>
      <w:proofErr w:type="spellStart"/>
      <w:r w:rsidRPr="00E63963">
        <w:rPr>
          <w:rFonts w:ascii="Times New Roman" w:hAnsi="Times New Roman"/>
          <w:b/>
          <w:sz w:val="28"/>
          <w:lang w:eastAsia="ru-RU"/>
        </w:rPr>
        <w:t>акта</w:t>
      </w:r>
      <w:proofErr w:type="spellEnd"/>
      <w:r w:rsidRPr="00E63963">
        <w:rPr>
          <w:rFonts w:ascii="Times New Roman" w:hAnsi="Times New Roman"/>
          <w:b/>
          <w:sz w:val="28"/>
          <w:lang w:eastAsia="ru-RU"/>
        </w:rPr>
        <w:t xml:space="preserve"> </w:t>
      </w:r>
    </w:p>
    <w:p w:rsidR="00401FE5" w:rsidRDefault="00401FE5" w:rsidP="0027344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E60773">
        <w:rPr>
          <w:rFonts w:ascii="Times New Roman" w:hAnsi="Times New Roman"/>
          <w:sz w:val="28"/>
          <w:szCs w:val="28"/>
        </w:rPr>
        <w:t>В умовах необхідності виконання Україною взятих на себе зобов’язань щодо розвитку відновлюваних джерел, підвищення енергоефективності, скорочення викидів вуглекислого газу в атмосферу, а також розуміючи відповідальність перед наступними поколіннями щодо збереження навколишнього середовища, нагальними є рішучі дії щодо прискорення впровадження та розвитку чист</w:t>
      </w:r>
      <w:r>
        <w:rPr>
          <w:rFonts w:ascii="Times New Roman" w:hAnsi="Times New Roman"/>
          <w:sz w:val="28"/>
          <w:szCs w:val="28"/>
        </w:rPr>
        <w:t>их енергоефективних технологій.</w:t>
      </w:r>
      <w:r w:rsidR="00273440">
        <w:rPr>
          <w:rFonts w:ascii="Times New Roman" w:hAnsi="Times New Roman"/>
          <w:sz w:val="28"/>
          <w:szCs w:val="28"/>
        </w:rPr>
        <w:t xml:space="preserve"> </w:t>
      </w:r>
      <w:r w:rsidR="008A2022" w:rsidRPr="008A2022">
        <w:rPr>
          <w:rFonts w:ascii="Times New Roman" w:hAnsi="Times New Roman"/>
          <w:sz w:val="28"/>
          <w:szCs w:val="28"/>
        </w:rPr>
        <w:t>Проекти з</w:t>
      </w:r>
      <w:r>
        <w:rPr>
          <w:rFonts w:ascii="Times New Roman" w:hAnsi="Times New Roman"/>
          <w:sz w:val="28"/>
          <w:szCs w:val="28"/>
        </w:rPr>
        <w:t xml:space="preserve"> будівництва об’єктів, що виробляють електричну енергію з альтернативних джерел, </w:t>
      </w:r>
      <w:r w:rsidR="008A2022" w:rsidRPr="008A2022">
        <w:rPr>
          <w:rFonts w:ascii="Times New Roman" w:hAnsi="Times New Roman"/>
          <w:sz w:val="28"/>
          <w:szCs w:val="28"/>
        </w:rPr>
        <w:t xml:space="preserve"> </w:t>
      </w:r>
      <w:r w:rsidR="00273440">
        <w:rPr>
          <w:rFonts w:ascii="Times New Roman" w:hAnsi="Times New Roman"/>
          <w:sz w:val="28"/>
          <w:szCs w:val="28"/>
        </w:rPr>
        <w:t xml:space="preserve">в цьому контексті </w:t>
      </w:r>
      <w:r w:rsidR="008A2022" w:rsidRPr="008A2022">
        <w:rPr>
          <w:rFonts w:ascii="Times New Roman" w:hAnsi="Times New Roman"/>
          <w:sz w:val="28"/>
          <w:szCs w:val="28"/>
        </w:rPr>
        <w:t>мають численні переваги та дозволяють досягнути цілей з декарбонізації</w:t>
      </w:r>
      <w:r w:rsidR="00392E51">
        <w:rPr>
          <w:rFonts w:ascii="Times New Roman" w:hAnsi="Times New Roman"/>
          <w:sz w:val="28"/>
          <w:szCs w:val="28"/>
        </w:rPr>
        <w:t xml:space="preserve"> енергетики та економіки в цілому</w:t>
      </w:r>
      <w:r w:rsidR="008A2022" w:rsidRPr="008A2022">
        <w:rPr>
          <w:rFonts w:ascii="Times New Roman" w:hAnsi="Times New Roman"/>
          <w:sz w:val="28"/>
          <w:szCs w:val="28"/>
        </w:rPr>
        <w:t>, диверсифік</w:t>
      </w:r>
      <w:r w:rsidR="00392E51">
        <w:rPr>
          <w:rFonts w:ascii="Times New Roman" w:hAnsi="Times New Roman"/>
          <w:sz w:val="28"/>
          <w:szCs w:val="28"/>
        </w:rPr>
        <w:t xml:space="preserve">увати </w:t>
      </w:r>
      <w:r w:rsidR="008A2022" w:rsidRPr="008A2022">
        <w:rPr>
          <w:rFonts w:ascii="Times New Roman" w:hAnsi="Times New Roman"/>
          <w:sz w:val="28"/>
          <w:szCs w:val="28"/>
        </w:rPr>
        <w:t xml:space="preserve"> джерел</w:t>
      </w:r>
      <w:r w:rsidR="00392E51">
        <w:rPr>
          <w:rFonts w:ascii="Times New Roman" w:hAnsi="Times New Roman"/>
          <w:sz w:val="28"/>
          <w:szCs w:val="28"/>
        </w:rPr>
        <w:t>а виробництва</w:t>
      </w:r>
      <w:r w:rsidR="008A2022" w:rsidRPr="008A2022">
        <w:rPr>
          <w:rFonts w:ascii="Times New Roman" w:hAnsi="Times New Roman"/>
          <w:sz w:val="28"/>
          <w:szCs w:val="28"/>
        </w:rPr>
        <w:t xml:space="preserve"> електроенергії та залуч</w:t>
      </w:r>
      <w:r w:rsidR="00392E51">
        <w:rPr>
          <w:rFonts w:ascii="Times New Roman" w:hAnsi="Times New Roman"/>
          <w:sz w:val="28"/>
          <w:szCs w:val="28"/>
        </w:rPr>
        <w:t xml:space="preserve">ати значні </w:t>
      </w:r>
      <w:r w:rsidR="008A2022" w:rsidRPr="008A2022">
        <w:rPr>
          <w:rFonts w:ascii="Times New Roman" w:hAnsi="Times New Roman"/>
          <w:sz w:val="28"/>
          <w:szCs w:val="28"/>
        </w:rPr>
        <w:t>інвестиці</w:t>
      </w:r>
      <w:r w:rsidR="00392E51">
        <w:rPr>
          <w:rFonts w:ascii="Times New Roman" w:hAnsi="Times New Roman"/>
          <w:sz w:val="28"/>
          <w:szCs w:val="28"/>
        </w:rPr>
        <w:t>ї</w:t>
      </w:r>
      <w:r w:rsidR="008A2022" w:rsidRPr="008A2022">
        <w:rPr>
          <w:rFonts w:ascii="Times New Roman" w:hAnsi="Times New Roman"/>
          <w:sz w:val="28"/>
          <w:szCs w:val="28"/>
        </w:rPr>
        <w:t xml:space="preserve"> у сектор енергетики. </w:t>
      </w:r>
    </w:p>
    <w:p w:rsidR="00273440" w:rsidRDefault="00401FE5" w:rsidP="0027344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773">
        <w:rPr>
          <w:rFonts w:ascii="Times New Roman" w:hAnsi="Times New Roman"/>
          <w:sz w:val="28"/>
          <w:szCs w:val="28"/>
          <w:lang w:eastAsia="ru-RU"/>
        </w:rPr>
        <w:t xml:space="preserve">Починаючи з 2012 року та до цього часу, Україна створила сприятливі умови </w:t>
      </w:r>
      <w:r w:rsidR="00273440">
        <w:rPr>
          <w:rFonts w:ascii="Times New Roman" w:hAnsi="Times New Roman"/>
          <w:sz w:val="28"/>
          <w:szCs w:val="28"/>
          <w:lang w:eastAsia="ru-RU"/>
        </w:rPr>
        <w:t xml:space="preserve">стимулювання </w:t>
      </w:r>
      <w:r w:rsidRPr="00E60773">
        <w:rPr>
          <w:rFonts w:ascii="Times New Roman" w:hAnsi="Times New Roman"/>
          <w:sz w:val="28"/>
          <w:szCs w:val="28"/>
          <w:lang w:eastAsia="ru-RU"/>
        </w:rPr>
        <w:t xml:space="preserve">розвитку </w:t>
      </w:r>
      <w:r>
        <w:rPr>
          <w:rFonts w:ascii="Times New Roman" w:hAnsi="Times New Roman"/>
          <w:sz w:val="28"/>
          <w:szCs w:val="28"/>
          <w:lang w:eastAsia="ru-RU"/>
        </w:rPr>
        <w:t>відновлюваної енергетики</w:t>
      </w:r>
      <w:r w:rsidRPr="00E60773">
        <w:rPr>
          <w:rFonts w:ascii="Times New Roman" w:hAnsi="Times New Roman"/>
          <w:sz w:val="28"/>
          <w:szCs w:val="28"/>
          <w:lang w:eastAsia="ru-RU"/>
        </w:rPr>
        <w:t xml:space="preserve">, які </w:t>
      </w:r>
      <w:r w:rsidR="00273440">
        <w:rPr>
          <w:rFonts w:ascii="Times New Roman" w:hAnsi="Times New Roman"/>
          <w:sz w:val="28"/>
          <w:szCs w:val="28"/>
          <w:lang w:eastAsia="ru-RU"/>
        </w:rPr>
        <w:t xml:space="preserve">дозволили </w:t>
      </w:r>
      <w:r w:rsidR="00273440" w:rsidRPr="008A2022">
        <w:rPr>
          <w:rFonts w:ascii="Times New Roman" w:hAnsi="Times New Roman"/>
          <w:sz w:val="28"/>
          <w:szCs w:val="28"/>
        </w:rPr>
        <w:t>залуч</w:t>
      </w:r>
      <w:r w:rsidR="00273440">
        <w:rPr>
          <w:rFonts w:ascii="Times New Roman" w:hAnsi="Times New Roman"/>
          <w:sz w:val="28"/>
          <w:szCs w:val="28"/>
        </w:rPr>
        <w:t>ити</w:t>
      </w:r>
      <w:r w:rsidR="00273440" w:rsidRPr="008A2022">
        <w:rPr>
          <w:rFonts w:ascii="Times New Roman" w:hAnsi="Times New Roman"/>
          <w:sz w:val="28"/>
          <w:szCs w:val="28"/>
        </w:rPr>
        <w:t xml:space="preserve"> </w:t>
      </w:r>
      <w:r w:rsidR="00273440">
        <w:rPr>
          <w:rFonts w:ascii="Times New Roman" w:hAnsi="Times New Roman"/>
          <w:sz w:val="28"/>
          <w:szCs w:val="28"/>
        </w:rPr>
        <w:t>в галузь інвестиції</w:t>
      </w:r>
      <w:r w:rsidR="00273440" w:rsidRPr="008A2022">
        <w:rPr>
          <w:rFonts w:ascii="Times New Roman" w:hAnsi="Times New Roman"/>
          <w:sz w:val="28"/>
          <w:szCs w:val="28"/>
        </w:rPr>
        <w:t xml:space="preserve">, що оцінюються </w:t>
      </w:r>
      <w:proofErr w:type="spellStart"/>
      <w:r w:rsidR="00273440" w:rsidRPr="008A2022">
        <w:rPr>
          <w:rFonts w:ascii="Times New Roman" w:hAnsi="Times New Roman"/>
          <w:sz w:val="28"/>
          <w:szCs w:val="28"/>
        </w:rPr>
        <w:t>Держенергоефективност</w:t>
      </w:r>
      <w:r w:rsidR="00273440">
        <w:rPr>
          <w:rFonts w:ascii="Times New Roman" w:hAnsi="Times New Roman"/>
          <w:sz w:val="28"/>
          <w:szCs w:val="28"/>
        </w:rPr>
        <w:t>ь</w:t>
      </w:r>
      <w:proofErr w:type="spellEnd"/>
      <w:r w:rsidR="00273440" w:rsidRPr="008A2022">
        <w:rPr>
          <w:rFonts w:ascii="Times New Roman" w:hAnsi="Times New Roman"/>
          <w:sz w:val="28"/>
          <w:szCs w:val="28"/>
        </w:rPr>
        <w:t xml:space="preserve"> в чотири мільярди євро </w:t>
      </w:r>
      <w:r w:rsidR="002C293F">
        <w:rPr>
          <w:rFonts w:ascii="Times New Roman" w:hAnsi="Times New Roman"/>
          <w:sz w:val="28"/>
          <w:szCs w:val="28"/>
        </w:rPr>
        <w:t>починаючи</w:t>
      </w:r>
      <w:r w:rsidR="00273440" w:rsidRPr="008A2022">
        <w:rPr>
          <w:rFonts w:ascii="Times New Roman" w:hAnsi="Times New Roman"/>
          <w:sz w:val="28"/>
          <w:szCs w:val="28"/>
        </w:rPr>
        <w:t xml:space="preserve"> з 2014 року</w:t>
      </w:r>
      <w:r w:rsidR="00273440" w:rsidRPr="00E60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3440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Pr="00E60773">
        <w:rPr>
          <w:rFonts w:ascii="Times New Roman" w:hAnsi="Times New Roman"/>
          <w:sz w:val="28"/>
          <w:szCs w:val="28"/>
          <w:lang w:eastAsia="ru-RU"/>
        </w:rPr>
        <w:t xml:space="preserve">побудувати </w:t>
      </w:r>
      <w:r w:rsidR="00273440">
        <w:rPr>
          <w:rFonts w:ascii="Times New Roman" w:hAnsi="Times New Roman"/>
          <w:sz w:val="28"/>
          <w:szCs w:val="28"/>
          <w:lang w:eastAsia="ru-RU"/>
        </w:rPr>
        <w:t>7</w:t>
      </w:r>
      <w:r w:rsidRPr="00E6077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0773">
        <w:rPr>
          <w:rFonts w:ascii="Times New Roman" w:hAnsi="Times New Roman"/>
          <w:sz w:val="28"/>
          <w:szCs w:val="28"/>
          <w:lang w:eastAsia="ru-RU"/>
        </w:rPr>
        <w:t>ГВт</w:t>
      </w:r>
      <w:proofErr w:type="spellEnd"/>
      <w:r w:rsidRPr="00E6077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0773">
        <w:rPr>
          <w:rFonts w:ascii="Times New Roman" w:hAnsi="Times New Roman"/>
          <w:sz w:val="28"/>
          <w:szCs w:val="28"/>
          <w:lang w:eastAsia="ru-RU"/>
        </w:rPr>
        <w:t>потужностей</w:t>
      </w:r>
      <w:proofErr w:type="spellEnd"/>
      <w:r w:rsidRPr="00E60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5239">
        <w:rPr>
          <w:rFonts w:ascii="Times New Roman" w:hAnsi="Times New Roman"/>
          <w:sz w:val="28"/>
          <w:szCs w:val="28"/>
          <w:lang w:eastAsia="ru-RU"/>
        </w:rPr>
        <w:t xml:space="preserve">станом на </w:t>
      </w:r>
      <w:r w:rsidR="00273440">
        <w:rPr>
          <w:rFonts w:ascii="Times New Roman" w:hAnsi="Times New Roman"/>
          <w:sz w:val="28"/>
          <w:szCs w:val="28"/>
          <w:lang w:eastAsia="ru-RU"/>
        </w:rPr>
        <w:t>травень 2020 року</w:t>
      </w:r>
      <w:r w:rsidRPr="00E6077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73440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273440" w:rsidRPr="008A2022">
        <w:rPr>
          <w:rFonts w:ascii="Times New Roman" w:hAnsi="Times New Roman"/>
          <w:sz w:val="28"/>
          <w:szCs w:val="28"/>
        </w:rPr>
        <w:t>та</w:t>
      </w:r>
      <w:r w:rsidR="00273440">
        <w:rPr>
          <w:rFonts w:ascii="Times New Roman" w:hAnsi="Times New Roman"/>
          <w:sz w:val="28"/>
          <w:szCs w:val="28"/>
        </w:rPr>
        <w:t>кож піднятися</w:t>
      </w:r>
      <w:r w:rsidR="00273440" w:rsidRPr="008A2022">
        <w:rPr>
          <w:rFonts w:ascii="Times New Roman" w:hAnsi="Times New Roman"/>
          <w:sz w:val="28"/>
          <w:szCs w:val="28"/>
        </w:rPr>
        <w:t xml:space="preserve"> в рейтингу привабливості інвестицій у ВДЕ</w:t>
      </w:r>
      <w:r w:rsidR="00273440">
        <w:rPr>
          <w:rFonts w:ascii="Times New Roman" w:hAnsi="Times New Roman"/>
          <w:sz w:val="28"/>
          <w:szCs w:val="28"/>
        </w:rPr>
        <w:t>,</w:t>
      </w:r>
      <w:r w:rsidR="00273440" w:rsidRPr="00E60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3440">
        <w:rPr>
          <w:rFonts w:ascii="Times New Roman" w:hAnsi="Times New Roman"/>
          <w:sz w:val="28"/>
          <w:szCs w:val="28"/>
          <w:lang w:eastAsia="ru-RU"/>
        </w:rPr>
        <w:t>що є безумовною перемогою.</w:t>
      </w:r>
    </w:p>
    <w:p w:rsidR="00736230" w:rsidRDefault="00273440" w:rsidP="004C7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2022">
        <w:rPr>
          <w:rFonts w:ascii="Times New Roman" w:hAnsi="Times New Roman"/>
          <w:sz w:val="28"/>
          <w:szCs w:val="28"/>
        </w:rPr>
        <w:t xml:space="preserve">В той же час, </w:t>
      </w:r>
      <w:r w:rsidR="004C7D27">
        <w:rPr>
          <w:rFonts w:ascii="Times New Roman" w:hAnsi="Times New Roman"/>
          <w:sz w:val="28"/>
          <w:szCs w:val="28"/>
        </w:rPr>
        <w:t>стрімкий розвиток відновлюваної енергетики за моделі нового ринку електроенергії, яка була впроваджена в минулому році,  створили ряд економічних і технічних викликів, які обмежують можливості подальшої глибокої інтеграції об’єктів відновлюваної енергетики</w:t>
      </w:r>
      <w:r w:rsidR="004C7D27" w:rsidRPr="004C7D27">
        <w:rPr>
          <w:rFonts w:ascii="Times New Roman" w:hAnsi="Times New Roman"/>
          <w:sz w:val="28"/>
          <w:szCs w:val="28"/>
        </w:rPr>
        <w:t xml:space="preserve"> </w:t>
      </w:r>
      <w:r w:rsidR="004C7D27">
        <w:rPr>
          <w:rFonts w:ascii="Times New Roman" w:hAnsi="Times New Roman"/>
          <w:sz w:val="28"/>
          <w:szCs w:val="28"/>
        </w:rPr>
        <w:t xml:space="preserve">до ОЕС України та ефективне функціонування </w:t>
      </w:r>
      <w:r w:rsidR="004C7D27" w:rsidRPr="008A2022">
        <w:rPr>
          <w:rFonts w:ascii="Times New Roman" w:hAnsi="Times New Roman"/>
          <w:sz w:val="28"/>
          <w:szCs w:val="28"/>
        </w:rPr>
        <w:t>систем</w:t>
      </w:r>
      <w:r w:rsidR="004C7D27">
        <w:rPr>
          <w:rFonts w:ascii="Times New Roman" w:hAnsi="Times New Roman"/>
          <w:sz w:val="28"/>
          <w:szCs w:val="28"/>
        </w:rPr>
        <w:t>и</w:t>
      </w:r>
      <w:r w:rsidR="004C7D27" w:rsidRPr="008A2022">
        <w:rPr>
          <w:rFonts w:ascii="Times New Roman" w:hAnsi="Times New Roman"/>
          <w:sz w:val="28"/>
          <w:szCs w:val="28"/>
        </w:rPr>
        <w:t xml:space="preserve"> </w:t>
      </w:r>
      <w:r w:rsidR="008214A6">
        <w:rPr>
          <w:rFonts w:ascii="Times New Roman" w:hAnsi="Times New Roman"/>
          <w:sz w:val="28"/>
          <w:szCs w:val="28"/>
        </w:rPr>
        <w:t>її стимулювання</w:t>
      </w:r>
      <w:r w:rsidR="004C7D27">
        <w:rPr>
          <w:rFonts w:ascii="Times New Roman" w:hAnsi="Times New Roman"/>
          <w:sz w:val="28"/>
          <w:szCs w:val="28"/>
        </w:rPr>
        <w:t>. А</w:t>
      </w:r>
      <w:r w:rsidR="004C7D27" w:rsidRPr="008A2022">
        <w:rPr>
          <w:rFonts w:ascii="Times New Roman" w:hAnsi="Times New Roman"/>
          <w:sz w:val="28"/>
          <w:szCs w:val="28"/>
        </w:rPr>
        <w:t xml:space="preserve"> ряд проблем з виплатами інвесторам за вироблену «зелену» електроенергію </w:t>
      </w:r>
      <w:r w:rsidR="004C7D27">
        <w:rPr>
          <w:rFonts w:ascii="Times New Roman" w:hAnsi="Times New Roman"/>
          <w:sz w:val="28"/>
          <w:szCs w:val="28"/>
        </w:rPr>
        <w:t>починаючи з липня</w:t>
      </w:r>
      <w:r w:rsidR="008214A6">
        <w:rPr>
          <w:rFonts w:ascii="Times New Roman" w:hAnsi="Times New Roman"/>
          <w:sz w:val="28"/>
          <w:szCs w:val="28"/>
        </w:rPr>
        <w:t xml:space="preserve"> 2019 року можуть мати наслідком</w:t>
      </w:r>
      <w:r w:rsidR="004C7D27">
        <w:rPr>
          <w:rFonts w:ascii="Times New Roman" w:hAnsi="Times New Roman"/>
          <w:sz w:val="28"/>
          <w:szCs w:val="28"/>
        </w:rPr>
        <w:t xml:space="preserve"> згортання потенційних прое</w:t>
      </w:r>
      <w:r w:rsidR="008214A6">
        <w:rPr>
          <w:rFonts w:ascii="Times New Roman" w:hAnsi="Times New Roman"/>
          <w:sz w:val="28"/>
          <w:szCs w:val="28"/>
        </w:rPr>
        <w:t>ктів</w:t>
      </w:r>
      <w:r w:rsidR="004C7D27" w:rsidRPr="008A2022">
        <w:rPr>
          <w:rFonts w:ascii="Times New Roman" w:hAnsi="Times New Roman"/>
          <w:sz w:val="28"/>
          <w:szCs w:val="28"/>
        </w:rPr>
        <w:t xml:space="preserve"> </w:t>
      </w:r>
      <w:r w:rsidR="004C7D27">
        <w:rPr>
          <w:rFonts w:ascii="Times New Roman" w:hAnsi="Times New Roman"/>
          <w:sz w:val="28"/>
          <w:szCs w:val="28"/>
        </w:rPr>
        <w:t xml:space="preserve">та </w:t>
      </w:r>
      <w:r w:rsidR="004C7D27" w:rsidRPr="008A2022">
        <w:rPr>
          <w:rFonts w:ascii="Times New Roman" w:hAnsi="Times New Roman"/>
          <w:sz w:val="28"/>
          <w:szCs w:val="28"/>
        </w:rPr>
        <w:t xml:space="preserve"> </w:t>
      </w:r>
      <w:r w:rsidR="004C7D27">
        <w:rPr>
          <w:rFonts w:ascii="Times New Roman" w:hAnsi="Times New Roman"/>
          <w:sz w:val="28"/>
          <w:szCs w:val="28"/>
        </w:rPr>
        <w:t xml:space="preserve">звернення інвесторів до міжнародних органів з розгляду інвестиційних спорів за захистом своїх прав та </w:t>
      </w:r>
      <w:r w:rsidR="004C7D27" w:rsidRPr="008A2022">
        <w:rPr>
          <w:rFonts w:ascii="Times New Roman" w:hAnsi="Times New Roman"/>
          <w:sz w:val="28"/>
          <w:szCs w:val="28"/>
        </w:rPr>
        <w:t>суттєвих компенсацій інвесторам, розмір яких наразі складно оцінити, але який може складати надмірний тягар для державного бюджету.</w:t>
      </w:r>
    </w:p>
    <w:p w:rsidR="008A2022" w:rsidRPr="008A2022" w:rsidRDefault="008A2022" w:rsidP="008214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2022">
        <w:rPr>
          <w:rFonts w:ascii="Times New Roman" w:hAnsi="Times New Roman"/>
          <w:sz w:val="28"/>
          <w:szCs w:val="28"/>
        </w:rPr>
        <w:t xml:space="preserve">Для підтримання іміджу України як привабливого для інвестування партнера та націленості на курс декарбонізації та енергетичної безпеки, </w:t>
      </w:r>
      <w:r w:rsidR="008214A6">
        <w:rPr>
          <w:rFonts w:ascii="Times New Roman" w:hAnsi="Times New Roman"/>
          <w:sz w:val="28"/>
          <w:szCs w:val="28"/>
        </w:rPr>
        <w:t xml:space="preserve">існує </w:t>
      </w:r>
      <w:r w:rsidRPr="008A2022">
        <w:rPr>
          <w:rFonts w:ascii="Times New Roman" w:hAnsi="Times New Roman"/>
          <w:sz w:val="28"/>
          <w:szCs w:val="28"/>
        </w:rPr>
        <w:t xml:space="preserve">необхідність знайти компромісний </w:t>
      </w:r>
      <w:r w:rsidR="008214A6">
        <w:rPr>
          <w:rFonts w:ascii="Times New Roman" w:hAnsi="Times New Roman"/>
          <w:sz w:val="28"/>
          <w:szCs w:val="28"/>
        </w:rPr>
        <w:t xml:space="preserve">вихід із ситуації, що склалася, а саме </w:t>
      </w:r>
      <w:r w:rsidRPr="008A2022">
        <w:rPr>
          <w:rFonts w:ascii="Times New Roman" w:hAnsi="Times New Roman"/>
          <w:sz w:val="28"/>
          <w:szCs w:val="28"/>
        </w:rPr>
        <w:t>необхідно:</w:t>
      </w:r>
    </w:p>
    <w:p w:rsidR="008A2022" w:rsidRPr="008A2022" w:rsidRDefault="008A2022" w:rsidP="008214A6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022">
        <w:rPr>
          <w:rFonts w:ascii="Times New Roman" w:hAnsi="Times New Roman"/>
          <w:sz w:val="28"/>
          <w:szCs w:val="28"/>
        </w:rPr>
        <w:t>вирішити питання, які не були врегульовані законодавством щодо нового ринку електроенергії;</w:t>
      </w:r>
    </w:p>
    <w:p w:rsidR="008A2022" w:rsidRPr="008A2022" w:rsidRDefault="008A2022" w:rsidP="008214A6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022">
        <w:rPr>
          <w:rFonts w:ascii="Times New Roman" w:hAnsi="Times New Roman"/>
          <w:sz w:val="28"/>
          <w:szCs w:val="28"/>
        </w:rPr>
        <w:t xml:space="preserve">знайти компромісний варіант щодо виплат інвесторам у ВДЕ, який дозволить зберегти нарощення </w:t>
      </w:r>
      <w:proofErr w:type="spellStart"/>
      <w:r w:rsidRPr="008A2022">
        <w:rPr>
          <w:rFonts w:ascii="Times New Roman" w:hAnsi="Times New Roman"/>
          <w:sz w:val="28"/>
          <w:szCs w:val="28"/>
        </w:rPr>
        <w:t>потужностей</w:t>
      </w:r>
      <w:proofErr w:type="spellEnd"/>
      <w:r w:rsidRPr="008A2022">
        <w:rPr>
          <w:rFonts w:ascii="Times New Roman" w:hAnsi="Times New Roman"/>
          <w:sz w:val="28"/>
          <w:szCs w:val="28"/>
        </w:rPr>
        <w:t xml:space="preserve"> ВДЕ та одночасно мінімізує ризики звернення існуючих інвесторів за компенсацією;</w:t>
      </w:r>
    </w:p>
    <w:p w:rsidR="008A2022" w:rsidRDefault="008A2022" w:rsidP="008214A6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022">
        <w:rPr>
          <w:rFonts w:ascii="Times New Roman" w:hAnsi="Times New Roman"/>
          <w:sz w:val="28"/>
          <w:szCs w:val="28"/>
        </w:rPr>
        <w:lastRenderedPageBreak/>
        <w:t>забезпечити відкритість та прогнозованість державної політики у щодо відновлювальної енергетики.</w:t>
      </w:r>
    </w:p>
    <w:p w:rsidR="008214A6" w:rsidRPr="008A2022" w:rsidRDefault="008214A6" w:rsidP="008214A6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214A6">
        <w:rPr>
          <w:rFonts w:ascii="Times New Roman" w:hAnsi="Times New Roman"/>
          <w:sz w:val="28"/>
          <w:szCs w:val="28"/>
        </w:rPr>
        <w:t>досконал</w:t>
      </w:r>
      <w:r>
        <w:rPr>
          <w:rFonts w:ascii="Times New Roman" w:hAnsi="Times New Roman"/>
          <w:sz w:val="28"/>
          <w:szCs w:val="28"/>
        </w:rPr>
        <w:t xml:space="preserve">ити </w:t>
      </w:r>
      <w:r w:rsidRPr="008214A6">
        <w:rPr>
          <w:rFonts w:ascii="Times New Roman" w:hAnsi="Times New Roman"/>
          <w:sz w:val="28"/>
          <w:szCs w:val="28"/>
        </w:rPr>
        <w:t xml:space="preserve">процедури організації і проведення </w:t>
      </w:r>
      <w:r>
        <w:rPr>
          <w:rFonts w:ascii="Times New Roman" w:hAnsi="Times New Roman"/>
          <w:sz w:val="28"/>
          <w:szCs w:val="28"/>
        </w:rPr>
        <w:t>конкурентної системи підтримки відновлюваної енергетики, шляхом проведення аукціонів з розподілу квоти підтримки</w:t>
      </w:r>
    </w:p>
    <w:p w:rsidR="00401BCE" w:rsidRDefault="008A2022" w:rsidP="008214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2022">
        <w:rPr>
          <w:rFonts w:ascii="Times New Roman" w:hAnsi="Times New Roman"/>
          <w:sz w:val="28"/>
          <w:szCs w:val="28"/>
        </w:rPr>
        <w:t>Отже, на сьогодні виникла необхідність в оперативному режимі вирішити питання оптимізації державної підтримки виробникам електричної енергії з ВДЕ. Такі підходи повинні збалансувати інтереси споживачів електричної енергії та  учасників ринку</w:t>
      </w:r>
      <w:r w:rsidR="009F7B35">
        <w:rPr>
          <w:rFonts w:ascii="Times New Roman" w:hAnsi="Times New Roman"/>
          <w:sz w:val="28"/>
          <w:szCs w:val="28"/>
        </w:rPr>
        <w:t xml:space="preserve"> електричної енергії</w:t>
      </w:r>
      <w:r w:rsidRPr="008A2022">
        <w:rPr>
          <w:rFonts w:ascii="Times New Roman" w:hAnsi="Times New Roman"/>
          <w:sz w:val="28"/>
          <w:szCs w:val="28"/>
        </w:rPr>
        <w:t>, забезпечи</w:t>
      </w:r>
      <w:r w:rsidR="009F7B35">
        <w:rPr>
          <w:rFonts w:ascii="Times New Roman" w:hAnsi="Times New Roman"/>
          <w:sz w:val="28"/>
          <w:szCs w:val="28"/>
        </w:rPr>
        <w:t xml:space="preserve">вши одночасно </w:t>
      </w:r>
      <w:r w:rsidRPr="008A2022">
        <w:rPr>
          <w:rFonts w:ascii="Times New Roman" w:hAnsi="Times New Roman"/>
          <w:sz w:val="28"/>
          <w:szCs w:val="28"/>
        </w:rPr>
        <w:t xml:space="preserve"> подальший розвиток відновлюваної енергетики та зменш</w:t>
      </w:r>
      <w:r w:rsidR="009F7B35">
        <w:rPr>
          <w:rFonts w:ascii="Times New Roman" w:hAnsi="Times New Roman"/>
          <w:sz w:val="28"/>
          <w:szCs w:val="28"/>
        </w:rPr>
        <w:t>уючи</w:t>
      </w:r>
      <w:r w:rsidRPr="008A2022">
        <w:rPr>
          <w:rFonts w:ascii="Times New Roman" w:hAnsi="Times New Roman"/>
          <w:sz w:val="28"/>
          <w:szCs w:val="28"/>
        </w:rPr>
        <w:t xml:space="preserve"> зростання фінансового навантаження на кінцеву ціну електричної енергії.</w:t>
      </w:r>
    </w:p>
    <w:p w:rsidR="008A2022" w:rsidRPr="00766F75" w:rsidRDefault="008A2022" w:rsidP="008A202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eastAsia="ru-RU"/>
        </w:rPr>
      </w:pPr>
    </w:p>
    <w:p w:rsidR="00401BCE" w:rsidRPr="00766F75" w:rsidRDefault="00401BCE" w:rsidP="00E6396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eastAsia="ru-RU"/>
        </w:rPr>
      </w:pPr>
      <w:r w:rsidRPr="00766F75">
        <w:rPr>
          <w:rFonts w:ascii="Times New Roman" w:hAnsi="Times New Roman"/>
          <w:b/>
          <w:sz w:val="28"/>
          <w:lang w:eastAsia="ru-RU"/>
        </w:rPr>
        <w:t xml:space="preserve">2. </w:t>
      </w:r>
      <w:r w:rsidR="009D52A6" w:rsidRPr="00766F75">
        <w:rPr>
          <w:rFonts w:ascii="Times New Roman" w:hAnsi="Times New Roman"/>
          <w:b/>
          <w:sz w:val="28"/>
          <w:lang w:eastAsia="ru-RU"/>
        </w:rPr>
        <w:t>Мета</w:t>
      </w:r>
      <w:r w:rsidRPr="00766F75">
        <w:rPr>
          <w:rFonts w:ascii="Times New Roman" w:hAnsi="Times New Roman"/>
          <w:b/>
          <w:sz w:val="28"/>
          <w:lang w:eastAsia="ru-RU"/>
        </w:rPr>
        <w:t xml:space="preserve"> і завдання прийняття акту </w:t>
      </w:r>
    </w:p>
    <w:p w:rsidR="00401BCE" w:rsidRPr="00766F75" w:rsidRDefault="00401BCE" w:rsidP="00E6396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eastAsia="ru-RU"/>
        </w:rPr>
      </w:pPr>
    </w:p>
    <w:p w:rsidR="00233016" w:rsidRDefault="00401BCE" w:rsidP="00E63963">
      <w:pPr>
        <w:tabs>
          <w:tab w:val="left" w:pos="916"/>
          <w:tab w:val="left" w:pos="11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t xml:space="preserve">Проект Закону розроблено з метою </w:t>
      </w:r>
      <w:r w:rsidR="000C3F8E" w:rsidRPr="00766F75">
        <w:rPr>
          <w:rFonts w:ascii="Times New Roman" w:hAnsi="Times New Roman"/>
          <w:sz w:val="28"/>
          <w:szCs w:val="28"/>
        </w:rPr>
        <w:t>забезпечення</w:t>
      </w:r>
      <w:r w:rsidRPr="00766F75">
        <w:rPr>
          <w:rFonts w:ascii="Times New Roman" w:hAnsi="Times New Roman"/>
          <w:sz w:val="28"/>
          <w:szCs w:val="28"/>
        </w:rPr>
        <w:t xml:space="preserve"> </w:t>
      </w:r>
      <w:r w:rsidR="00166521" w:rsidRPr="00E21028">
        <w:rPr>
          <w:rFonts w:ascii="Times New Roman" w:hAnsi="Times New Roman"/>
          <w:sz w:val="28"/>
          <w:szCs w:val="28"/>
        </w:rPr>
        <w:t>збереження</w:t>
      </w:r>
      <w:r w:rsidRPr="00766F75">
        <w:rPr>
          <w:rFonts w:ascii="Times New Roman" w:hAnsi="Times New Roman"/>
          <w:sz w:val="28"/>
          <w:szCs w:val="28"/>
        </w:rPr>
        <w:t xml:space="preserve"> державної підтримки проектам будівництва об’єктів відновлюваної енергетики</w:t>
      </w:r>
      <w:bookmarkStart w:id="2" w:name="_Hlk515624612"/>
      <w:r w:rsidRPr="00766F75">
        <w:rPr>
          <w:rFonts w:ascii="Times New Roman" w:hAnsi="Times New Roman"/>
          <w:sz w:val="28"/>
          <w:szCs w:val="28"/>
        </w:rPr>
        <w:t xml:space="preserve">, </w:t>
      </w:r>
      <w:r w:rsidR="00233016" w:rsidRPr="00233016">
        <w:rPr>
          <w:rFonts w:ascii="Times New Roman" w:hAnsi="Times New Roman"/>
          <w:sz w:val="28"/>
          <w:szCs w:val="28"/>
        </w:rPr>
        <w:t xml:space="preserve">який водночас зменшить </w:t>
      </w:r>
      <w:bookmarkEnd w:id="2"/>
      <w:r w:rsidR="00233016" w:rsidRPr="008A2022">
        <w:rPr>
          <w:rFonts w:ascii="Times New Roman" w:hAnsi="Times New Roman"/>
          <w:sz w:val="28"/>
          <w:szCs w:val="28"/>
        </w:rPr>
        <w:t xml:space="preserve">фінансове навантаження на </w:t>
      </w:r>
      <w:r w:rsidR="009F7B35">
        <w:rPr>
          <w:rFonts w:ascii="Times New Roman" w:hAnsi="Times New Roman"/>
          <w:sz w:val="28"/>
          <w:szCs w:val="28"/>
        </w:rPr>
        <w:t xml:space="preserve">ціну електричної енергії від </w:t>
      </w:r>
      <w:r w:rsidR="00233016" w:rsidRPr="008A2022">
        <w:rPr>
          <w:rFonts w:ascii="Times New Roman" w:hAnsi="Times New Roman"/>
          <w:sz w:val="28"/>
          <w:szCs w:val="28"/>
        </w:rPr>
        <w:t>підтримк</w:t>
      </w:r>
      <w:r w:rsidR="009F7B35">
        <w:rPr>
          <w:rFonts w:ascii="Times New Roman" w:hAnsi="Times New Roman"/>
          <w:sz w:val="28"/>
          <w:szCs w:val="28"/>
        </w:rPr>
        <w:t>и</w:t>
      </w:r>
      <w:r w:rsidR="00233016" w:rsidRPr="008A2022">
        <w:rPr>
          <w:rFonts w:ascii="Times New Roman" w:hAnsi="Times New Roman"/>
          <w:sz w:val="28"/>
          <w:szCs w:val="28"/>
        </w:rPr>
        <w:t xml:space="preserve"> виробників </w:t>
      </w:r>
      <w:r w:rsidR="009F7B35">
        <w:rPr>
          <w:rFonts w:ascii="Times New Roman" w:hAnsi="Times New Roman"/>
          <w:sz w:val="28"/>
          <w:szCs w:val="28"/>
        </w:rPr>
        <w:t xml:space="preserve">з </w:t>
      </w:r>
      <w:r w:rsidR="00233016" w:rsidRPr="008A2022">
        <w:rPr>
          <w:rFonts w:ascii="Times New Roman" w:hAnsi="Times New Roman"/>
          <w:sz w:val="28"/>
          <w:szCs w:val="28"/>
        </w:rPr>
        <w:t>ВДЕ та забезпечить  умови для продовження інвестицій,</w:t>
      </w:r>
      <w:r w:rsidR="00233016">
        <w:rPr>
          <w:rFonts w:ascii="Times New Roman" w:hAnsi="Times New Roman"/>
          <w:sz w:val="28"/>
          <w:szCs w:val="28"/>
        </w:rPr>
        <w:t xml:space="preserve"> та</w:t>
      </w:r>
      <w:r w:rsidR="00233016" w:rsidRPr="00233016">
        <w:rPr>
          <w:rFonts w:ascii="Times New Roman" w:hAnsi="Times New Roman"/>
          <w:sz w:val="28"/>
          <w:szCs w:val="28"/>
        </w:rPr>
        <w:t xml:space="preserve"> вдосконал</w:t>
      </w:r>
      <w:r w:rsidR="00233016">
        <w:rPr>
          <w:rFonts w:ascii="Times New Roman" w:hAnsi="Times New Roman"/>
          <w:sz w:val="28"/>
          <w:szCs w:val="28"/>
        </w:rPr>
        <w:t>ить</w:t>
      </w:r>
      <w:r w:rsidR="00233016" w:rsidRPr="00233016">
        <w:rPr>
          <w:rFonts w:ascii="Times New Roman" w:hAnsi="Times New Roman"/>
          <w:sz w:val="28"/>
          <w:szCs w:val="28"/>
        </w:rPr>
        <w:t xml:space="preserve"> законодавств</w:t>
      </w:r>
      <w:r w:rsidR="009F7B35">
        <w:rPr>
          <w:rFonts w:ascii="Times New Roman" w:hAnsi="Times New Roman"/>
          <w:sz w:val="28"/>
          <w:szCs w:val="28"/>
        </w:rPr>
        <w:t>о</w:t>
      </w:r>
      <w:r w:rsidR="00233016" w:rsidRPr="00233016">
        <w:rPr>
          <w:rFonts w:ascii="Times New Roman" w:hAnsi="Times New Roman"/>
          <w:sz w:val="28"/>
          <w:szCs w:val="28"/>
        </w:rPr>
        <w:t xml:space="preserve"> щодо надання державних гарантій</w:t>
      </w:r>
      <w:r w:rsidRPr="00766F75">
        <w:rPr>
          <w:rFonts w:ascii="Times New Roman" w:hAnsi="Times New Roman"/>
          <w:sz w:val="28"/>
          <w:szCs w:val="28"/>
        </w:rPr>
        <w:t xml:space="preserve">. </w:t>
      </w:r>
    </w:p>
    <w:p w:rsidR="00401BCE" w:rsidRPr="00766F75" w:rsidRDefault="00401BCE" w:rsidP="001B3D97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lang w:eastAsia="ru-RU"/>
        </w:rPr>
      </w:pPr>
    </w:p>
    <w:p w:rsidR="00401BCE" w:rsidRPr="00766F75" w:rsidRDefault="00401BCE" w:rsidP="001B3D97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lang w:eastAsia="ru-RU"/>
        </w:rPr>
      </w:pPr>
      <w:r w:rsidRPr="00766F75">
        <w:rPr>
          <w:rFonts w:ascii="Times New Roman" w:hAnsi="Times New Roman"/>
          <w:b/>
          <w:sz w:val="28"/>
          <w:lang w:eastAsia="ru-RU"/>
        </w:rPr>
        <w:t>3. Загальна характеристика і основні положення проекту акт</w:t>
      </w:r>
      <w:r w:rsidR="00296D05">
        <w:rPr>
          <w:rFonts w:ascii="Times New Roman" w:hAnsi="Times New Roman"/>
          <w:b/>
          <w:sz w:val="28"/>
          <w:lang w:eastAsia="ru-RU"/>
        </w:rPr>
        <w:t>у</w:t>
      </w:r>
    </w:p>
    <w:p w:rsidR="00296D05" w:rsidRDefault="00296D05" w:rsidP="00296D0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  <w:lang w:val="ru-RU"/>
        </w:rPr>
        <w:t>ом</w:t>
      </w:r>
      <w:r>
        <w:rPr>
          <w:rFonts w:ascii="Times New Roman" w:hAnsi="Times New Roman"/>
          <w:sz w:val="28"/>
          <w:szCs w:val="28"/>
        </w:rPr>
        <w:t xml:space="preserve"> акту вносяться зміни</w:t>
      </w:r>
      <w:r>
        <w:rPr>
          <w:rFonts w:ascii="Times New Roman" w:hAnsi="Times New Roman"/>
          <w:sz w:val="28"/>
          <w:szCs w:val="28"/>
          <w:lang w:eastAsia="ru-RU"/>
        </w:rPr>
        <w:t xml:space="preserve"> до законів України «Про альтернативні джерела енергії», «Про ринок електричної енергії», «Про режим іноземного інвестування», в частині удосконалення умов підтримки виробників за «зеленим» тарифом, якими пропонується наступне:</w:t>
      </w:r>
    </w:p>
    <w:p w:rsidR="00B64203" w:rsidRDefault="00B64203" w:rsidP="00246051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4203">
        <w:rPr>
          <w:rFonts w:ascii="Times New Roman" w:hAnsi="Times New Roman"/>
          <w:sz w:val="28"/>
          <w:szCs w:val="28"/>
          <w:lang w:eastAsia="ru-RU"/>
        </w:rPr>
        <w:t>зменшення розмірів «зелених» тарифів з 01.07.2020 для ВЕС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введених в експлуатацію до 31.12.2019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на 7,5%;</w:t>
      </w:r>
    </w:p>
    <w:p w:rsidR="009501C0" w:rsidRPr="009501C0" w:rsidRDefault="009501C0" w:rsidP="008E0409">
      <w:pPr>
        <w:pStyle w:val="ad"/>
        <w:numPr>
          <w:ilvl w:val="0"/>
          <w:numId w:val="12"/>
        </w:numPr>
        <w:spacing w:after="120" w:line="240" w:lineRule="auto"/>
        <w:ind w:left="142" w:firstLine="425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01C0">
        <w:rPr>
          <w:rFonts w:ascii="Times New Roman" w:hAnsi="Times New Roman"/>
          <w:sz w:val="28"/>
          <w:szCs w:val="28"/>
          <w:lang w:eastAsia="ru-RU"/>
        </w:rPr>
        <w:t xml:space="preserve">зменшення розмірів «зелених» тарифів з 01.07.2020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ВЕС, </w:t>
      </w:r>
      <w:r w:rsidRPr="009501C0">
        <w:rPr>
          <w:rFonts w:ascii="Times New Roman" w:hAnsi="Times New Roman"/>
          <w:sz w:val="28"/>
          <w:szCs w:val="28"/>
          <w:lang w:eastAsia="ru-RU"/>
        </w:rPr>
        <w:t>введених в експлуатацію з 01.01.2020 на 2,5%;</w:t>
      </w:r>
    </w:p>
    <w:p w:rsidR="009501C0" w:rsidRPr="009501C0" w:rsidRDefault="009501C0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01C0">
        <w:rPr>
          <w:rFonts w:ascii="Times New Roman" w:hAnsi="Times New Roman"/>
          <w:sz w:val="28"/>
          <w:szCs w:val="28"/>
          <w:lang w:eastAsia="ru-RU"/>
        </w:rPr>
        <w:t xml:space="preserve">зменшення розмірів «зелених» тарифів для ВЕС, </w:t>
      </w:r>
      <w:r>
        <w:rPr>
          <w:rFonts w:ascii="Times New Roman" w:hAnsi="Times New Roman"/>
          <w:sz w:val="28"/>
          <w:szCs w:val="28"/>
          <w:lang w:eastAsia="ru-RU"/>
        </w:rPr>
        <w:t xml:space="preserve">що будуть </w:t>
      </w:r>
      <w:r w:rsidRPr="009501C0">
        <w:rPr>
          <w:rFonts w:ascii="Times New Roman" w:hAnsi="Times New Roman"/>
          <w:sz w:val="28"/>
          <w:szCs w:val="28"/>
          <w:lang w:eastAsia="ru-RU"/>
        </w:rPr>
        <w:t>введен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9501C0">
        <w:rPr>
          <w:rFonts w:ascii="Times New Roman" w:hAnsi="Times New Roman"/>
          <w:sz w:val="28"/>
          <w:szCs w:val="28"/>
          <w:lang w:eastAsia="ru-RU"/>
        </w:rPr>
        <w:t xml:space="preserve"> в експлуатацію з 01.01.202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501C0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9501C0">
        <w:rPr>
          <w:rFonts w:ascii="Times New Roman" w:hAnsi="Times New Roman"/>
          <w:sz w:val="28"/>
          <w:szCs w:val="28"/>
          <w:lang w:eastAsia="ru-RU"/>
        </w:rPr>
        <w:t>%;</w:t>
      </w:r>
    </w:p>
    <w:p w:rsidR="00B64203" w:rsidRPr="00B64203" w:rsidRDefault="00B64203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4203">
        <w:rPr>
          <w:rFonts w:ascii="Times New Roman" w:hAnsi="Times New Roman"/>
          <w:sz w:val="28"/>
          <w:szCs w:val="28"/>
          <w:lang w:eastAsia="ru-RU"/>
        </w:rPr>
        <w:t>зменшення розмірів «зелених» тарифів з 01.07.2020 для СЕС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 введених в експлуатацію з 01.07.2015 до 31.12.2019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на 15%</w:t>
      </w:r>
      <w:r w:rsidR="00246051">
        <w:rPr>
          <w:rFonts w:ascii="Times New Roman" w:hAnsi="Times New Roman"/>
          <w:sz w:val="28"/>
          <w:szCs w:val="28"/>
          <w:lang w:eastAsia="ru-RU"/>
        </w:rPr>
        <w:t xml:space="preserve">, якщо </w:t>
      </w:r>
      <w:r>
        <w:rPr>
          <w:rFonts w:ascii="Times New Roman" w:hAnsi="Times New Roman"/>
          <w:sz w:val="28"/>
          <w:szCs w:val="28"/>
          <w:lang w:eastAsia="ru-RU"/>
        </w:rPr>
        <w:t xml:space="preserve"> встановлен</w:t>
      </w:r>
      <w:r w:rsidR="00246051">
        <w:rPr>
          <w:rFonts w:ascii="Times New Roman" w:hAnsi="Times New Roman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sz w:val="28"/>
          <w:szCs w:val="28"/>
          <w:lang w:eastAsia="ru-RU"/>
        </w:rPr>
        <w:t>потужністю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051">
        <w:rPr>
          <w:rFonts w:ascii="Times New Roman" w:hAnsi="Times New Roman"/>
          <w:sz w:val="28"/>
          <w:szCs w:val="28"/>
          <w:lang w:eastAsia="ru-RU"/>
        </w:rPr>
        <w:t xml:space="preserve">об’єкта 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більше 1 </w:t>
      </w:r>
      <w:proofErr w:type="spellStart"/>
      <w:r w:rsidRPr="00B64203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="0024605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r w:rsidRPr="00B64203">
        <w:rPr>
          <w:rFonts w:ascii="Times New Roman" w:hAnsi="Times New Roman"/>
          <w:sz w:val="28"/>
          <w:szCs w:val="28"/>
          <w:lang w:eastAsia="ru-RU"/>
        </w:rPr>
        <w:t>на 10%</w:t>
      </w:r>
      <w:r w:rsidR="00246051">
        <w:rPr>
          <w:rFonts w:ascii="Times New Roman" w:hAnsi="Times New Roman"/>
          <w:sz w:val="28"/>
          <w:szCs w:val="28"/>
          <w:lang w:eastAsia="ru-RU"/>
        </w:rPr>
        <w:t>,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051">
        <w:rPr>
          <w:rFonts w:ascii="Times New Roman" w:hAnsi="Times New Roman"/>
          <w:sz w:val="28"/>
          <w:szCs w:val="28"/>
          <w:lang w:eastAsia="ru-RU"/>
        </w:rPr>
        <w:t>якщо встановлена потужність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051">
        <w:rPr>
          <w:rFonts w:ascii="Times New Roman" w:hAnsi="Times New Roman"/>
          <w:sz w:val="28"/>
          <w:szCs w:val="28"/>
          <w:lang w:eastAsia="ru-RU"/>
        </w:rPr>
        <w:t xml:space="preserve">об’єкта </w:t>
      </w:r>
      <w:r w:rsidRPr="00B64203">
        <w:rPr>
          <w:rFonts w:ascii="Times New Roman" w:hAnsi="Times New Roman"/>
          <w:sz w:val="28"/>
          <w:szCs w:val="28"/>
          <w:lang w:eastAsia="ru-RU"/>
        </w:rPr>
        <w:t xml:space="preserve">менше 1 </w:t>
      </w:r>
      <w:proofErr w:type="spellStart"/>
      <w:r w:rsidRPr="00B64203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="008E0409">
        <w:rPr>
          <w:rFonts w:ascii="Times New Roman" w:hAnsi="Times New Roman"/>
          <w:sz w:val="28"/>
          <w:szCs w:val="28"/>
          <w:lang w:eastAsia="ru-RU"/>
        </w:rPr>
        <w:t>;</w:t>
      </w:r>
    </w:p>
    <w:p w:rsidR="00B64203" w:rsidRDefault="00B64203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6051">
        <w:rPr>
          <w:rFonts w:ascii="Times New Roman" w:hAnsi="Times New Roman"/>
          <w:sz w:val="28"/>
          <w:szCs w:val="28"/>
          <w:lang w:eastAsia="ru-RU"/>
        </w:rPr>
        <w:t>зменшення розмірів «зелених» тарифів з 01.07.2020 для СЕС</w:t>
      </w:r>
      <w:r w:rsidR="009501C0">
        <w:rPr>
          <w:rFonts w:ascii="Times New Roman" w:hAnsi="Times New Roman"/>
          <w:sz w:val="28"/>
          <w:szCs w:val="28"/>
          <w:lang w:eastAsia="ru-RU"/>
        </w:rPr>
        <w:t xml:space="preserve"> встановленою потужністю до 1 </w:t>
      </w:r>
      <w:proofErr w:type="spellStart"/>
      <w:r w:rsidR="009501C0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Pr="0024605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501C0">
        <w:rPr>
          <w:rFonts w:ascii="Times New Roman" w:hAnsi="Times New Roman"/>
          <w:sz w:val="28"/>
          <w:szCs w:val="28"/>
          <w:lang w:eastAsia="ru-RU"/>
        </w:rPr>
        <w:t xml:space="preserve">що </w:t>
      </w:r>
      <w:r w:rsidRPr="00246051">
        <w:rPr>
          <w:rFonts w:ascii="Times New Roman" w:hAnsi="Times New Roman"/>
          <w:sz w:val="28"/>
          <w:szCs w:val="28"/>
          <w:lang w:eastAsia="ru-RU"/>
        </w:rPr>
        <w:t>введен</w:t>
      </w:r>
      <w:r w:rsidR="009501C0">
        <w:rPr>
          <w:rFonts w:ascii="Times New Roman" w:hAnsi="Times New Roman"/>
          <w:sz w:val="28"/>
          <w:szCs w:val="28"/>
          <w:lang w:eastAsia="ru-RU"/>
        </w:rPr>
        <w:t>і</w:t>
      </w:r>
      <w:r w:rsidRPr="00246051">
        <w:rPr>
          <w:rFonts w:ascii="Times New Roman" w:hAnsi="Times New Roman"/>
          <w:sz w:val="28"/>
          <w:szCs w:val="28"/>
          <w:lang w:eastAsia="ru-RU"/>
        </w:rPr>
        <w:t xml:space="preserve"> в експлуатацію з 01.01.2020</w:t>
      </w:r>
      <w:r w:rsidR="009501C0">
        <w:rPr>
          <w:rFonts w:ascii="Times New Roman" w:hAnsi="Times New Roman"/>
          <w:sz w:val="28"/>
          <w:szCs w:val="28"/>
          <w:lang w:eastAsia="ru-RU"/>
        </w:rPr>
        <w:t>,</w:t>
      </w:r>
      <w:r w:rsidRPr="00246051">
        <w:rPr>
          <w:rFonts w:ascii="Times New Roman" w:hAnsi="Times New Roman"/>
          <w:sz w:val="28"/>
          <w:szCs w:val="28"/>
          <w:lang w:eastAsia="ru-RU"/>
        </w:rPr>
        <w:t xml:space="preserve"> на 2,5%;</w:t>
      </w:r>
    </w:p>
    <w:p w:rsidR="009501C0" w:rsidRDefault="009501C0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6051">
        <w:rPr>
          <w:rFonts w:ascii="Times New Roman" w:hAnsi="Times New Roman"/>
          <w:sz w:val="28"/>
          <w:szCs w:val="28"/>
          <w:lang w:eastAsia="ru-RU"/>
        </w:rPr>
        <w:t>зменшення розмірів «зелених» тарифів з 01.07.2020 для СЕС</w:t>
      </w:r>
      <w:r>
        <w:rPr>
          <w:rFonts w:ascii="Times New Roman" w:hAnsi="Times New Roman"/>
          <w:sz w:val="28"/>
          <w:szCs w:val="28"/>
          <w:lang w:eastAsia="ru-RU"/>
        </w:rPr>
        <w:t xml:space="preserve"> встановленою потужністю від 1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до 5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Pr="0024605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що </w:t>
      </w:r>
      <w:r w:rsidRPr="00246051">
        <w:rPr>
          <w:rFonts w:ascii="Times New Roman" w:hAnsi="Times New Roman"/>
          <w:sz w:val="28"/>
          <w:szCs w:val="28"/>
          <w:lang w:eastAsia="ru-RU"/>
        </w:rPr>
        <w:t>введен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246051">
        <w:rPr>
          <w:rFonts w:ascii="Times New Roman" w:hAnsi="Times New Roman"/>
          <w:sz w:val="28"/>
          <w:szCs w:val="28"/>
          <w:lang w:eastAsia="ru-RU"/>
        </w:rPr>
        <w:t xml:space="preserve"> в експлуатацію з 01.01.2020</w:t>
      </w:r>
      <w:r>
        <w:rPr>
          <w:rFonts w:ascii="Times New Roman" w:hAnsi="Times New Roman"/>
          <w:sz w:val="28"/>
          <w:szCs w:val="28"/>
          <w:lang w:eastAsia="ru-RU"/>
        </w:rPr>
        <w:t xml:space="preserve"> до 20.09.2020,</w:t>
      </w:r>
      <w:r w:rsidRPr="00246051">
        <w:rPr>
          <w:rFonts w:ascii="Times New Roman" w:hAnsi="Times New Roman"/>
          <w:sz w:val="28"/>
          <w:szCs w:val="28"/>
          <w:lang w:eastAsia="ru-RU"/>
        </w:rPr>
        <w:t xml:space="preserve"> на 2,5%;</w:t>
      </w:r>
    </w:p>
    <w:p w:rsidR="009501C0" w:rsidRPr="009501C0" w:rsidRDefault="009501C0" w:rsidP="008E0409">
      <w:pPr>
        <w:pStyle w:val="ad"/>
        <w:numPr>
          <w:ilvl w:val="0"/>
          <w:numId w:val="12"/>
        </w:numPr>
        <w:spacing w:after="120" w:line="240" w:lineRule="auto"/>
        <w:ind w:left="142" w:firstLine="425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01C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зменшення розмірів «зелених» тарифів для СЕС встановленою потужністю від 1 </w:t>
      </w:r>
      <w:proofErr w:type="spellStart"/>
      <w:r w:rsidRPr="009501C0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Pr="009501C0">
        <w:rPr>
          <w:rFonts w:ascii="Times New Roman" w:hAnsi="Times New Roman"/>
          <w:sz w:val="28"/>
          <w:szCs w:val="28"/>
          <w:lang w:eastAsia="ru-RU"/>
        </w:rPr>
        <w:t xml:space="preserve"> до 5 </w:t>
      </w:r>
      <w:proofErr w:type="spellStart"/>
      <w:r w:rsidRPr="009501C0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Pr="009501C0">
        <w:rPr>
          <w:rFonts w:ascii="Times New Roman" w:hAnsi="Times New Roman"/>
          <w:sz w:val="28"/>
          <w:szCs w:val="28"/>
          <w:lang w:eastAsia="ru-RU"/>
        </w:rPr>
        <w:t xml:space="preserve">, що </w:t>
      </w:r>
      <w:r>
        <w:rPr>
          <w:rFonts w:ascii="Times New Roman" w:hAnsi="Times New Roman"/>
          <w:sz w:val="28"/>
          <w:szCs w:val="28"/>
          <w:lang w:eastAsia="ru-RU"/>
        </w:rPr>
        <w:t>будуть введені</w:t>
      </w:r>
      <w:r w:rsidRPr="009501C0">
        <w:rPr>
          <w:rFonts w:ascii="Times New Roman" w:hAnsi="Times New Roman"/>
          <w:sz w:val="28"/>
          <w:szCs w:val="28"/>
          <w:lang w:eastAsia="ru-RU"/>
        </w:rPr>
        <w:t xml:space="preserve"> в експлуатацію з 01.</w:t>
      </w:r>
      <w:r>
        <w:rPr>
          <w:rFonts w:ascii="Times New Roman" w:hAnsi="Times New Roman"/>
          <w:sz w:val="28"/>
          <w:szCs w:val="28"/>
          <w:lang w:eastAsia="ru-RU"/>
        </w:rPr>
        <w:t>10.2020 до 30.06.2021</w:t>
      </w:r>
      <w:r w:rsidRPr="009501C0">
        <w:rPr>
          <w:rFonts w:ascii="Times New Roman" w:hAnsi="Times New Roman"/>
          <w:sz w:val="28"/>
          <w:szCs w:val="28"/>
          <w:lang w:eastAsia="ru-RU"/>
        </w:rPr>
        <w:t xml:space="preserve">, на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9501C0">
        <w:rPr>
          <w:rFonts w:ascii="Times New Roman" w:hAnsi="Times New Roman"/>
          <w:sz w:val="28"/>
          <w:szCs w:val="28"/>
          <w:lang w:eastAsia="ru-RU"/>
        </w:rPr>
        <w:t>%;</w:t>
      </w:r>
    </w:p>
    <w:p w:rsidR="009501C0" w:rsidRPr="009501C0" w:rsidRDefault="009501C0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01C0">
        <w:rPr>
          <w:rFonts w:ascii="Times New Roman" w:hAnsi="Times New Roman"/>
          <w:sz w:val="28"/>
          <w:szCs w:val="28"/>
          <w:lang w:eastAsia="ru-RU"/>
        </w:rPr>
        <w:t xml:space="preserve">зменшення розмірів «зелених» тарифів для СЕС встановленою потужністю 5 </w:t>
      </w:r>
      <w:proofErr w:type="spellStart"/>
      <w:r w:rsidRPr="009501C0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="008E0409">
        <w:rPr>
          <w:rFonts w:ascii="Times New Roman" w:hAnsi="Times New Roman"/>
          <w:sz w:val="28"/>
          <w:szCs w:val="28"/>
          <w:lang w:eastAsia="ru-RU"/>
        </w:rPr>
        <w:t xml:space="preserve"> і більше</w:t>
      </w:r>
      <w:r w:rsidRPr="009501C0">
        <w:rPr>
          <w:rFonts w:ascii="Times New Roman" w:hAnsi="Times New Roman"/>
          <w:sz w:val="28"/>
          <w:szCs w:val="28"/>
          <w:lang w:eastAsia="ru-RU"/>
        </w:rPr>
        <w:t xml:space="preserve">, що будуть введені в експлуатацію </w:t>
      </w:r>
      <w:r w:rsidR="008E0409">
        <w:rPr>
          <w:rFonts w:ascii="Times New Roman" w:hAnsi="Times New Roman"/>
          <w:sz w:val="28"/>
          <w:szCs w:val="28"/>
          <w:lang w:eastAsia="ru-RU"/>
        </w:rPr>
        <w:t>з 01.10.2020 до 30.06.2021, на 3</w:t>
      </w:r>
      <w:r w:rsidRPr="009501C0">
        <w:rPr>
          <w:rFonts w:ascii="Times New Roman" w:hAnsi="Times New Roman"/>
          <w:sz w:val="28"/>
          <w:szCs w:val="28"/>
          <w:lang w:eastAsia="ru-RU"/>
        </w:rPr>
        <w:t>0%;</w:t>
      </w:r>
    </w:p>
    <w:p w:rsidR="009501C0" w:rsidRPr="008E0409" w:rsidRDefault="008E0409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0409">
        <w:rPr>
          <w:rFonts w:ascii="Times New Roman" w:hAnsi="Times New Roman"/>
          <w:sz w:val="28"/>
          <w:szCs w:val="28"/>
          <w:lang w:eastAsia="ru-RU"/>
        </w:rPr>
        <w:t xml:space="preserve">зменшення розмірів «зелених» тарифів для СЕС встановленою потужністю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8E040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E0409">
        <w:rPr>
          <w:rFonts w:ascii="Times New Roman" w:hAnsi="Times New Roman"/>
          <w:sz w:val="28"/>
          <w:szCs w:val="28"/>
          <w:lang w:eastAsia="ru-RU"/>
        </w:rPr>
        <w:t>МВт</w:t>
      </w:r>
      <w:proofErr w:type="spellEnd"/>
      <w:r w:rsidRPr="008E0409">
        <w:rPr>
          <w:rFonts w:ascii="Times New Roman" w:hAnsi="Times New Roman"/>
          <w:sz w:val="28"/>
          <w:szCs w:val="28"/>
          <w:lang w:eastAsia="ru-RU"/>
        </w:rPr>
        <w:t xml:space="preserve"> і більше, що будуть введені в експлуатацію </w:t>
      </w:r>
      <w:r>
        <w:rPr>
          <w:rFonts w:ascii="Times New Roman" w:hAnsi="Times New Roman"/>
          <w:sz w:val="28"/>
          <w:szCs w:val="28"/>
          <w:lang w:eastAsia="ru-RU"/>
        </w:rPr>
        <w:t>з 01.07.2021, на 6</w:t>
      </w:r>
      <w:r w:rsidRPr="008E0409">
        <w:rPr>
          <w:rFonts w:ascii="Times New Roman" w:hAnsi="Times New Roman"/>
          <w:sz w:val="28"/>
          <w:szCs w:val="28"/>
          <w:lang w:eastAsia="ru-RU"/>
        </w:rPr>
        <w:t>0%;</w:t>
      </w:r>
    </w:p>
    <w:p w:rsidR="00E21028" w:rsidRPr="008E0409" w:rsidRDefault="00D12321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6051">
        <w:rPr>
          <w:rFonts w:ascii="Times New Roman" w:hAnsi="Times New Roman"/>
          <w:sz w:val="28"/>
          <w:szCs w:val="28"/>
          <w:lang w:eastAsia="ru-RU"/>
        </w:rPr>
        <w:t xml:space="preserve">встановлення граничного розміру «зеленого» тарифу для СЕС, що введені в експлуатацію до 30.06.2015, що дозволить зменшити розмір «зелених» тарифів для таких об’єктів </w:t>
      </w:r>
      <w:r w:rsidR="00E21028" w:rsidRPr="00246051">
        <w:rPr>
          <w:rFonts w:ascii="Times New Roman" w:hAnsi="Times New Roman"/>
          <w:sz w:val="28"/>
          <w:szCs w:val="28"/>
          <w:lang w:eastAsia="ru-RU"/>
        </w:rPr>
        <w:t>на</w:t>
      </w:r>
      <w:r w:rsidR="00826E58">
        <w:rPr>
          <w:rFonts w:ascii="Times New Roman" w:hAnsi="Times New Roman"/>
          <w:sz w:val="28"/>
          <w:szCs w:val="28"/>
          <w:lang w:eastAsia="ru-RU"/>
        </w:rPr>
        <w:t xml:space="preserve"> 21% -</w:t>
      </w:r>
      <w:r w:rsidR="00E21028" w:rsidRPr="00246051">
        <w:rPr>
          <w:rFonts w:ascii="Times New Roman" w:hAnsi="Times New Roman"/>
          <w:sz w:val="28"/>
          <w:szCs w:val="28"/>
          <w:lang w:eastAsia="ru-RU"/>
        </w:rPr>
        <w:t xml:space="preserve"> 47%</w:t>
      </w:r>
      <w:r w:rsidR="00826E58">
        <w:rPr>
          <w:rFonts w:ascii="Times New Roman" w:hAnsi="Times New Roman"/>
          <w:sz w:val="28"/>
          <w:szCs w:val="28"/>
          <w:lang w:eastAsia="ru-RU"/>
        </w:rPr>
        <w:t xml:space="preserve"> в залежності від введення об’єктів в експлуатацію</w:t>
      </w:r>
      <w:r w:rsidR="00E21028" w:rsidRPr="00246051">
        <w:rPr>
          <w:rFonts w:ascii="Times New Roman" w:hAnsi="Times New Roman"/>
          <w:sz w:val="28"/>
          <w:szCs w:val="28"/>
          <w:lang w:eastAsia="ru-RU"/>
        </w:rPr>
        <w:t>;</w:t>
      </w:r>
      <w:r w:rsidR="00E21028" w:rsidRPr="008E040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96D05" w:rsidRDefault="00296D05" w:rsidP="008E0409">
      <w:pPr>
        <w:pStyle w:val="ad"/>
        <w:numPr>
          <w:ilvl w:val="0"/>
          <w:numId w:val="12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6051">
        <w:rPr>
          <w:rFonts w:ascii="Times New Roman" w:hAnsi="Times New Roman"/>
          <w:sz w:val="28"/>
          <w:szCs w:val="28"/>
          <w:lang w:eastAsia="ru-RU"/>
        </w:rPr>
        <w:t xml:space="preserve">запровадження з 2022 року (50% у 2021 році) повної відповідальності за небаланс своїх фактичних та акцептованих (прогнозних) графіків виробництва електроенергії для всіх виробників з ВДЕ, що створить для таких суб’єктів економічні стимули для підвищення точності прогнозування своїх графіків відпуску електричної енергії і сприятиме розвитку сектору балансуючих </w:t>
      </w:r>
      <w:proofErr w:type="spellStart"/>
      <w:r w:rsidRPr="00246051">
        <w:rPr>
          <w:rFonts w:ascii="Times New Roman" w:hAnsi="Times New Roman"/>
          <w:sz w:val="28"/>
          <w:szCs w:val="28"/>
          <w:lang w:eastAsia="ru-RU"/>
        </w:rPr>
        <w:t>потужностей</w:t>
      </w:r>
      <w:proofErr w:type="spellEnd"/>
      <w:r w:rsidRPr="00246051">
        <w:rPr>
          <w:rFonts w:ascii="Times New Roman" w:hAnsi="Times New Roman"/>
          <w:sz w:val="28"/>
          <w:szCs w:val="28"/>
          <w:lang w:eastAsia="ru-RU"/>
        </w:rPr>
        <w:t>. При цьому розмір допустимої похибки прогнозування складатиме для ВЕС – 10%, для СЕС – 5%;</w:t>
      </w:r>
    </w:p>
    <w:p w:rsidR="00C67A68" w:rsidRPr="00C67A68" w:rsidRDefault="00296D05" w:rsidP="005E27F5">
      <w:pPr>
        <w:numPr>
          <w:ilvl w:val="0"/>
          <w:numId w:val="12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визначення оператора системи передачі відповідальним за компенсацію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недовідпущеної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виробниками ВДЕ електричної енергії, внаслідок виконання ними диспетчерських команд на зменшення та/або обмеження навантаження, відповідно до методики, яка затверджується Регулятором;</w:t>
      </w:r>
    </w:p>
    <w:p w:rsidR="00296D05" w:rsidRDefault="00296D05" w:rsidP="005E27F5">
      <w:pPr>
        <w:numPr>
          <w:ilvl w:val="0"/>
          <w:numId w:val="12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надання державних гарантій стосовно незмінності законодавства, чинного на день прийняття цього Закону, для виробників за «зеленим» тарифом.</w:t>
      </w:r>
    </w:p>
    <w:p w:rsidR="00296D05" w:rsidRPr="00741E1F" w:rsidRDefault="00C67A68" w:rsidP="00741E1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1E1F">
        <w:rPr>
          <w:rFonts w:ascii="Times New Roman" w:hAnsi="Times New Roman"/>
          <w:sz w:val="28"/>
          <w:szCs w:val="28"/>
        </w:rPr>
        <w:t>Прое</w:t>
      </w:r>
      <w:r w:rsidR="00296D05" w:rsidRPr="00741E1F">
        <w:rPr>
          <w:rFonts w:ascii="Times New Roman" w:hAnsi="Times New Roman"/>
          <w:sz w:val="28"/>
          <w:szCs w:val="28"/>
        </w:rPr>
        <w:t>ктом Закону</w:t>
      </w:r>
      <w:r w:rsidR="00296D05" w:rsidRPr="00741E1F">
        <w:rPr>
          <w:rFonts w:ascii="Times New Roman" w:hAnsi="Times New Roman"/>
          <w:sz w:val="28"/>
          <w:szCs w:val="28"/>
          <w:lang w:eastAsia="ru-RU"/>
        </w:rPr>
        <w:t xml:space="preserve"> також передбачається </w:t>
      </w:r>
      <w:r w:rsidR="00296D05" w:rsidRPr="00741E1F">
        <w:rPr>
          <w:rFonts w:ascii="Times New Roman" w:hAnsi="Times New Roman"/>
          <w:bCs/>
          <w:sz w:val="28"/>
          <w:szCs w:val="28"/>
        </w:rPr>
        <w:t>вдосконалення процедури організації і проведення аукціонів з розподілу квоти підтримки шляхом</w:t>
      </w:r>
      <w:r w:rsidR="00296D05" w:rsidRPr="00741E1F">
        <w:rPr>
          <w:rFonts w:ascii="Times New Roman" w:hAnsi="Times New Roman"/>
          <w:sz w:val="28"/>
          <w:szCs w:val="28"/>
          <w:lang w:eastAsia="ru-RU"/>
        </w:rPr>
        <w:t xml:space="preserve"> внесення змін до статті 9</w:t>
      </w:r>
      <w:r w:rsidR="00296D05" w:rsidRPr="00741E1F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="00296D05" w:rsidRPr="00741E1F">
        <w:rPr>
          <w:rFonts w:ascii="Times New Roman" w:hAnsi="Times New Roman"/>
          <w:sz w:val="28"/>
          <w:szCs w:val="28"/>
          <w:lang w:eastAsia="ru-RU"/>
        </w:rPr>
        <w:t xml:space="preserve"> Закону України «Про альтернативні джерела енергії». окрема:</w:t>
      </w:r>
    </w:p>
    <w:p w:rsidR="00296D05" w:rsidRDefault="00296D05" w:rsidP="00296D05">
      <w:pPr>
        <w:pStyle w:val="ad"/>
        <w:numPr>
          <w:ilvl w:val="0"/>
          <w:numId w:val="10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чітке визначення максимального розміру цінової пропозиції на аукціоні залежно від виду ВДЕ і року уведення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енергооб’єкту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 експлуатацію;</w:t>
      </w:r>
    </w:p>
    <w:p w:rsidR="00296D05" w:rsidRDefault="00296D05" w:rsidP="00296D05">
      <w:pPr>
        <w:pStyle w:val="ad"/>
        <w:numPr>
          <w:ilvl w:val="0"/>
          <w:numId w:val="10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запровадження можливості проведення аукціонів за окремими видами альтернативних джерел енергії та аукціонів для інших (крім СЕС та ВЕС) альтернативних джерел енергії;</w:t>
      </w:r>
    </w:p>
    <w:p w:rsidR="00296D05" w:rsidRDefault="00296D05" w:rsidP="00296D05">
      <w:pPr>
        <w:pStyle w:val="ad"/>
        <w:numPr>
          <w:ilvl w:val="0"/>
          <w:numId w:val="10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посилення вимог обов’язкової участі ВЕС в аукціонах, без можливості уведення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енергооб’єктів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 три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вітротурбіни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 рамках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зеленого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тарифу; </w:t>
      </w:r>
    </w:p>
    <w:p w:rsidR="00296D05" w:rsidRDefault="00296D05" w:rsidP="00296D05">
      <w:pPr>
        <w:pStyle w:val="ad"/>
        <w:numPr>
          <w:ilvl w:val="0"/>
          <w:numId w:val="10"/>
        </w:numPr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уточнення процедури верифікації завершення будівництва об’єкту: замість початку відпуску електроенергії в мережу – надання акту виконаних робіт з приєднання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енергооб’єкту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до мережі ОСР/ОСП;  </w:t>
      </w:r>
    </w:p>
    <w:p w:rsidR="00401BCE" w:rsidRPr="00766F75" w:rsidRDefault="00401BCE" w:rsidP="00DA3F30">
      <w:pPr>
        <w:spacing w:after="120" w:line="240" w:lineRule="auto"/>
        <w:ind w:firstLine="708"/>
        <w:jc w:val="both"/>
        <w:rPr>
          <w:rFonts w:ascii="Times New Roman" w:hAnsi="Times New Roman"/>
          <w:b/>
          <w:sz w:val="28"/>
          <w:lang w:eastAsia="ru-RU"/>
        </w:rPr>
      </w:pPr>
      <w:bookmarkStart w:id="3" w:name="o943"/>
      <w:bookmarkStart w:id="4" w:name="o944"/>
      <w:bookmarkEnd w:id="3"/>
      <w:bookmarkEnd w:id="4"/>
      <w:r w:rsidRPr="00766F75">
        <w:rPr>
          <w:rFonts w:ascii="Times New Roman" w:hAnsi="Times New Roman"/>
          <w:b/>
          <w:sz w:val="28"/>
          <w:lang w:eastAsia="ru-RU"/>
        </w:rPr>
        <w:t xml:space="preserve">4. </w:t>
      </w:r>
      <w:r w:rsidR="00AB340A" w:rsidRPr="00766F75">
        <w:rPr>
          <w:rFonts w:ascii="Times New Roman" w:hAnsi="Times New Roman"/>
          <w:b/>
          <w:sz w:val="28"/>
          <w:lang w:eastAsia="ru-RU"/>
        </w:rPr>
        <w:t>Стан нормативно-правової бази в даній сфері державного регулювання</w:t>
      </w:r>
    </w:p>
    <w:p w:rsidR="00401BCE" w:rsidRPr="00766F75" w:rsidRDefault="00401BCE" w:rsidP="00DA3F30">
      <w:pPr>
        <w:tabs>
          <w:tab w:val="left" w:pos="1120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lastRenderedPageBreak/>
        <w:t xml:space="preserve">Основними нормативно-правовими актами у даній сфері правового регулювання є </w:t>
      </w:r>
      <w:bookmarkStart w:id="5" w:name="_Hlk515531841"/>
      <w:r w:rsidRPr="00766F75">
        <w:rPr>
          <w:rFonts w:ascii="Times New Roman" w:hAnsi="Times New Roman"/>
          <w:sz w:val="28"/>
          <w:szCs w:val="28"/>
        </w:rPr>
        <w:t xml:space="preserve">Закон України  </w:t>
      </w:r>
      <w:r w:rsidRPr="00766F75">
        <w:rPr>
          <w:rFonts w:ascii="Times New Roman" w:hAnsi="Times New Roman"/>
          <w:sz w:val="28"/>
          <w:szCs w:val="28"/>
          <w:lang w:val="ru-RU"/>
        </w:rPr>
        <w:t>«</w:t>
      </w:r>
      <w:r w:rsidRPr="00766F75">
        <w:rPr>
          <w:rFonts w:ascii="Times New Roman" w:hAnsi="Times New Roman"/>
          <w:sz w:val="28"/>
          <w:szCs w:val="28"/>
        </w:rPr>
        <w:t>Про альтернативні джерела енергії», Закон України «Про ринок електричної енергії»</w:t>
      </w:r>
      <w:r w:rsidR="00766F75" w:rsidRPr="00766F75">
        <w:rPr>
          <w:rFonts w:ascii="Times New Roman" w:hAnsi="Times New Roman"/>
          <w:sz w:val="28"/>
          <w:szCs w:val="28"/>
        </w:rPr>
        <w:t>,</w:t>
      </w:r>
      <w:r w:rsidR="00766F75" w:rsidRPr="00766F75">
        <w:t xml:space="preserve"> «</w:t>
      </w:r>
      <w:r w:rsidR="00766F75" w:rsidRPr="00766F75">
        <w:rPr>
          <w:rFonts w:ascii="Times New Roman" w:hAnsi="Times New Roman"/>
          <w:sz w:val="28"/>
          <w:szCs w:val="28"/>
        </w:rPr>
        <w:t>Про режим іноземного інвестування»</w:t>
      </w:r>
      <w:r w:rsidRPr="00766F75">
        <w:rPr>
          <w:rFonts w:ascii="Times New Roman" w:hAnsi="Times New Roman"/>
          <w:sz w:val="28"/>
          <w:szCs w:val="28"/>
        </w:rPr>
        <w:t xml:space="preserve">. </w:t>
      </w:r>
    </w:p>
    <w:bookmarkEnd w:id="5"/>
    <w:p w:rsidR="00401BCE" w:rsidRPr="00766F75" w:rsidRDefault="00401BCE" w:rsidP="00DA3F30">
      <w:pPr>
        <w:tabs>
          <w:tab w:val="left" w:pos="1120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t xml:space="preserve">Законопроектом пропонується </w:t>
      </w:r>
      <w:proofErr w:type="spellStart"/>
      <w:r w:rsidRPr="00766F75">
        <w:rPr>
          <w:rFonts w:ascii="Times New Roman" w:hAnsi="Times New Roman"/>
          <w:sz w:val="28"/>
          <w:szCs w:val="28"/>
        </w:rPr>
        <w:t>внести</w:t>
      </w:r>
      <w:proofErr w:type="spellEnd"/>
      <w:r w:rsidRPr="00766F75">
        <w:rPr>
          <w:rFonts w:ascii="Times New Roman" w:hAnsi="Times New Roman"/>
          <w:sz w:val="28"/>
          <w:szCs w:val="28"/>
        </w:rPr>
        <w:t xml:space="preserve"> зміни до таких законодавчих актів:</w:t>
      </w:r>
    </w:p>
    <w:p w:rsidR="00BF3FBA" w:rsidRPr="00BF3FBA" w:rsidRDefault="00BF3FBA" w:rsidP="00DA3F30">
      <w:pPr>
        <w:pStyle w:val="ad"/>
        <w:numPr>
          <w:ilvl w:val="0"/>
          <w:numId w:val="2"/>
        </w:numPr>
        <w:tabs>
          <w:tab w:val="left" w:pos="112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t>Закон України «Про режим іноземного інвестування»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401BCE" w:rsidRPr="00766F75" w:rsidRDefault="00401BCE" w:rsidP="00DA3F30">
      <w:pPr>
        <w:pStyle w:val="ad"/>
        <w:numPr>
          <w:ilvl w:val="0"/>
          <w:numId w:val="2"/>
        </w:numPr>
        <w:tabs>
          <w:tab w:val="left" w:pos="112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t>Закон України  «Про альтернативні джерела енергії»;</w:t>
      </w:r>
    </w:p>
    <w:p w:rsidR="00401BCE" w:rsidRDefault="00401BCE" w:rsidP="00BF3FBA">
      <w:pPr>
        <w:pStyle w:val="ad"/>
        <w:numPr>
          <w:ilvl w:val="0"/>
          <w:numId w:val="2"/>
        </w:numPr>
        <w:tabs>
          <w:tab w:val="left" w:pos="112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t>Закон України «Про ринок електричної енергії»</w:t>
      </w:r>
      <w:r w:rsidR="00741E1F">
        <w:rPr>
          <w:rFonts w:ascii="Times New Roman" w:hAnsi="Times New Roman"/>
          <w:sz w:val="28"/>
          <w:szCs w:val="28"/>
        </w:rPr>
        <w:t>;</w:t>
      </w:r>
    </w:p>
    <w:p w:rsidR="00401BCE" w:rsidRPr="00766F75" w:rsidRDefault="00401BCE" w:rsidP="00E63963">
      <w:pPr>
        <w:spacing w:after="0" w:line="240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401BCE" w:rsidRPr="00766F75" w:rsidRDefault="00401BCE" w:rsidP="00BB68B2">
      <w:pPr>
        <w:spacing w:after="120" w:line="240" w:lineRule="auto"/>
        <w:ind w:firstLine="720"/>
        <w:jc w:val="both"/>
        <w:rPr>
          <w:rFonts w:ascii="Times New Roman" w:hAnsi="Times New Roman"/>
          <w:b/>
          <w:sz w:val="28"/>
          <w:lang w:eastAsia="ru-RU"/>
        </w:rPr>
      </w:pPr>
      <w:bookmarkStart w:id="6" w:name="o945"/>
      <w:bookmarkStart w:id="7" w:name="o948"/>
      <w:bookmarkEnd w:id="6"/>
      <w:bookmarkEnd w:id="7"/>
      <w:r w:rsidRPr="00766F75">
        <w:rPr>
          <w:rFonts w:ascii="Times New Roman" w:hAnsi="Times New Roman"/>
          <w:b/>
          <w:sz w:val="28"/>
          <w:lang w:eastAsia="ru-RU"/>
        </w:rPr>
        <w:t xml:space="preserve">5. Фінансово-економічне обґрунтування </w:t>
      </w:r>
    </w:p>
    <w:p w:rsidR="00401BCE" w:rsidRPr="00766F75" w:rsidRDefault="00401BCE" w:rsidP="00BB68B2">
      <w:pPr>
        <w:tabs>
          <w:tab w:val="left" w:pos="1120"/>
        </w:tabs>
        <w:spacing w:after="120" w:line="240" w:lineRule="auto"/>
        <w:ind w:right="-26" w:firstLine="720"/>
        <w:jc w:val="both"/>
        <w:rPr>
          <w:rFonts w:ascii="Times New Roman" w:hAnsi="Times New Roman"/>
          <w:sz w:val="28"/>
          <w:szCs w:val="28"/>
        </w:rPr>
      </w:pPr>
      <w:r w:rsidRPr="00766F75">
        <w:rPr>
          <w:rFonts w:ascii="Times New Roman" w:hAnsi="Times New Roman"/>
          <w:sz w:val="28"/>
          <w:szCs w:val="28"/>
        </w:rPr>
        <w:t>Реалізація даного проекту закону не вимагатиме витрат із Державного бюджету України.</w:t>
      </w:r>
    </w:p>
    <w:p w:rsidR="00401BCE" w:rsidRPr="00766F75" w:rsidRDefault="00401BCE" w:rsidP="00BB68B2">
      <w:pPr>
        <w:spacing w:after="120" w:line="240" w:lineRule="auto"/>
        <w:jc w:val="both"/>
        <w:rPr>
          <w:rFonts w:ascii="Times New Roman" w:hAnsi="Times New Roman"/>
          <w:b/>
          <w:sz w:val="28"/>
          <w:lang w:eastAsia="ru-RU"/>
        </w:rPr>
      </w:pPr>
    </w:p>
    <w:p w:rsidR="00401BCE" w:rsidRPr="00766F75" w:rsidRDefault="00401BCE" w:rsidP="00BB68B2">
      <w:pPr>
        <w:spacing w:after="120" w:line="240" w:lineRule="auto"/>
        <w:ind w:firstLine="720"/>
        <w:jc w:val="both"/>
        <w:rPr>
          <w:rFonts w:ascii="Times New Roman" w:hAnsi="Times New Roman"/>
          <w:b/>
          <w:sz w:val="28"/>
          <w:lang w:eastAsia="ru-RU"/>
        </w:rPr>
      </w:pPr>
      <w:bookmarkStart w:id="8" w:name="o949"/>
      <w:bookmarkStart w:id="9" w:name="o950"/>
      <w:bookmarkStart w:id="10" w:name="o966"/>
      <w:bookmarkEnd w:id="8"/>
      <w:bookmarkEnd w:id="9"/>
      <w:bookmarkEnd w:id="10"/>
      <w:r w:rsidRPr="00766F75">
        <w:rPr>
          <w:rFonts w:ascii="Times New Roman" w:hAnsi="Times New Roman"/>
          <w:b/>
          <w:sz w:val="28"/>
          <w:lang w:eastAsia="ru-RU"/>
        </w:rPr>
        <w:t xml:space="preserve">6. </w:t>
      </w:r>
      <w:r w:rsidR="00AB340A" w:rsidRPr="00766F75">
        <w:rPr>
          <w:rFonts w:ascii="Times New Roman" w:hAnsi="Times New Roman"/>
          <w:b/>
          <w:sz w:val="28"/>
          <w:lang w:eastAsia="ru-RU"/>
        </w:rPr>
        <w:t xml:space="preserve">Прогноз соціально-економічних, правових та інших наслідків прийняття </w:t>
      </w:r>
      <w:proofErr w:type="spellStart"/>
      <w:r w:rsidR="00AB340A" w:rsidRPr="00766F75">
        <w:rPr>
          <w:rFonts w:ascii="Times New Roman" w:hAnsi="Times New Roman"/>
          <w:b/>
          <w:sz w:val="28"/>
          <w:lang w:eastAsia="ru-RU"/>
        </w:rPr>
        <w:t>акта</w:t>
      </w:r>
      <w:proofErr w:type="spellEnd"/>
    </w:p>
    <w:p w:rsidR="009305F4" w:rsidRDefault="009305F4" w:rsidP="00766F75">
      <w:pPr>
        <w:tabs>
          <w:tab w:val="left" w:pos="916"/>
          <w:tab w:val="left" w:pos="11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305F4">
        <w:rPr>
          <w:rFonts w:ascii="Times New Roman" w:hAnsi="Times New Roman"/>
          <w:sz w:val="28"/>
          <w:szCs w:val="28"/>
        </w:rPr>
        <w:t>Запропонований законопро</w:t>
      </w:r>
      <w:r w:rsidR="00161CBE" w:rsidRPr="00161CBE">
        <w:rPr>
          <w:rFonts w:ascii="Times New Roman" w:hAnsi="Times New Roman"/>
          <w:sz w:val="28"/>
          <w:szCs w:val="28"/>
        </w:rPr>
        <w:t>е</w:t>
      </w:r>
      <w:r w:rsidRPr="009305F4">
        <w:rPr>
          <w:rFonts w:ascii="Times New Roman" w:hAnsi="Times New Roman"/>
          <w:sz w:val="28"/>
          <w:szCs w:val="28"/>
        </w:rPr>
        <w:t>кт дозволить створити законодавче підґрунтя для вирішення нагальних проблем «зеленої» генерації, зменшення фінансового навантаження через високу вартість «зеленої» електроенергії для деяких електростанцій та досягнення балансу інтересів суспільства</w:t>
      </w:r>
      <w:r w:rsidR="002C61D9">
        <w:rPr>
          <w:rFonts w:ascii="Times New Roman" w:hAnsi="Times New Roman"/>
          <w:sz w:val="28"/>
          <w:szCs w:val="28"/>
        </w:rPr>
        <w:t>,</w:t>
      </w:r>
      <w:r w:rsidRPr="009305F4">
        <w:rPr>
          <w:rFonts w:ascii="Times New Roman" w:hAnsi="Times New Roman"/>
          <w:sz w:val="28"/>
          <w:szCs w:val="28"/>
        </w:rPr>
        <w:t xml:space="preserve"> споживачів електричної енергії та  учасників ринку</w:t>
      </w:r>
      <w:r w:rsidR="002C61D9">
        <w:rPr>
          <w:rFonts w:ascii="Times New Roman" w:hAnsi="Times New Roman"/>
          <w:sz w:val="28"/>
          <w:szCs w:val="28"/>
        </w:rPr>
        <w:t xml:space="preserve"> електричної енергії</w:t>
      </w:r>
      <w:r w:rsidRPr="009305F4">
        <w:rPr>
          <w:rFonts w:ascii="Times New Roman" w:hAnsi="Times New Roman"/>
          <w:sz w:val="28"/>
          <w:szCs w:val="28"/>
        </w:rPr>
        <w:t xml:space="preserve">, </w:t>
      </w:r>
      <w:r w:rsidR="00161CBE" w:rsidRPr="00766F75">
        <w:rPr>
          <w:rFonts w:ascii="Times New Roman" w:hAnsi="Times New Roman"/>
          <w:sz w:val="28"/>
          <w:lang w:eastAsia="ru-RU"/>
        </w:rPr>
        <w:t>запобігти дефіциту коштів на ринку електричної енергії,</w:t>
      </w:r>
      <w:r w:rsidR="00161CBE" w:rsidRPr="00766F75">
        <w:rPr>
          <w:rFonts w:ascii="Times New Roman" w:hAnsi="Times New Roman"/>
          <w:sz w:val="28"/>
          <w:szCs w:val="28"/>
        </w:rPr>
        <w:t xml:space="preserve"> </w:t>
      </w:r>
      <w:r w:rsidR="00161CBE" w:rsidRPr="00766F75">
        <w:rPr>
          <w:rFonts w:ascii="Times New Roman" w:hAnsi="Times New Roman"/>
          <w:sz w:val="28"/>
          <w:lang w:eastAsia="ru-RU"/>
        </w:rPr>
        <w:t>покращить платоспроможність ДП «Гарантований покупець»</w:t>
      </w:r>
      <w:r w:rsidR="00161CBE" w:rsidRPr="00161CBE">
        <w:rPr>
          <w:rFonts w:ascii="Times New Roman" w:hAnsi="Times New Roman"/>
          <w:sz w:val="28"/>
          <w:lang w:eastAsia="ru-RU"/>
        </w:rPr>
        <w:t xml:space="preserve">, </w:t>
      </w:r>
      <w:r w:rsidRPr="009305F4">
        <w:rPr>
          <w:rFonts w:ascii="Times New Roman" w:hAnsi="Times New Roman"/>
          <w:sz w:val="28"/>
          <w:szCs w:val="28"/>
        </w:rPr>
        <w:t>забезпечивши одночасно подальший розвиток відновлюваної енергетики та зменшення цінового навантаження на ціну електричної енергії.</w:t>
      </w:r>
    </w:p>
    <w:p w:rsidR="00401BCE" w:rsidRDefault="00401BCE" w:rsidP="00E6396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401BCE" w:rsidRPr="00E63963" w:rsidRDefault="00401BCE" w:rsidP="00E6396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040CEC" w:rsidRDefault="00040CEC" w:rsidP="00741E1F">
      <w:pPr>
        <w:spacing w:after="0" w:line="240" w:lineRule="auto"/>
        <w:rPr>
          <w:rFonts w:ascii="Times New Roman" w:hAnsi="Times New Roman"/>
          <w:b/>
          <w:sz w:val="28"/>
          <w:lang w:eastAsia="ru-RU"/>
        </w:rPr>
      </w:pPr>
      <w:r w:rsidRPr="00040CEC">
        <w:rPr>
          <w:rFonts w:ascii="Times New Roman" w:hAnsi="Times New Roman"/>
          <w:b/>
          <w:sz w:val="28"/>
          <w:szCs w:val="28"/>
          <w:lang w:eastAsia="ru-RU"/>
        </w:rPr>
        <w:t>Народн</w:t>
      </w:r>
      <w:r w:rsidR="00660240">
        <w:rPr>
          <w:rFonts w:ascii="Times New Roman" w:hAnsi="Times New Roman"/>
          <w:b/>
          <w:sz w:val="28"/>
          <w:szCs w:val="28"/>
          <w:lang w:eastAsia="ru-RU"/>
        </w:rPr>
        <w:t>ий</w:t>
      </w:r>
      <w:r w:rsidRPr="00040CEC">
        <w:rPr>
          <w:rFonts w:ascii="Times New Roman" w:hAnsi="Times New Roman"/>
          <w:b/>
          <w:sz w:val="28"/>
          <w:szCs w:val="28"/>
          <w:lang w:eastAsia="ru-RU"/>
        </w:rPr>
        <w:t xml:space="preserve"> депутат України                  </w:t>
      </w:r>
      <w:bookmarkStart w:id="11" w:name="_Hlk26446681"/>
      <w:r w:rsidRPr="00040CEC"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  <w:bookmarkEnd w:id="11"/>
      <w:r w:rsidR="00660240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proofErr w:type="spellStart"/>
      <w:r w:rsidR="00660240">
        <w:rPr>
          <w:rFonts w:ascii="Times New Roman" w:hAnsi="Times New Roman"/>
          <w:b/>
          <w:sz w:val="28"/>
          <w:szCs w:val="28"/>
          <w:lang w:eastAsia="ru-RU"/>
        </w:rPr>
        <w:t>А.Герус</w:t>
      </w:r>
      <w:bookmarkStart w:id="12" w:name="_GoBack"/>
      <w:bookmarkEnd w:id="12"/>
      <w:proofErr w:type="spellEnd"/>
    </w:p>
    <w:sectPr w:rsidR="00040CEC" w:rsidSect="00946D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37B" w:rsidRDefault="003B337B">
      <w:pPr>
        <w:spacing w:after="0" w:line="240" w:lineRule="auto"/>
      </w:pPr>
      <w:r>
        <w:separator/>
      </w:r>
    </w:p>
  </w:endnote>
  <w:endnote w:type="continuationSeparator" w:id="0">
    <w:p w:rsidR="003B337B" w:rsidRDefault="003B3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F3" w:rsidRDefault="00FD41F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F3" w:rsidRDefault="00FD41F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F3" w:rsidRDefault="00FD41F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37B" w:rsidRDefault="003B337B">
      <w:pPr>
        <w:spacing w:after="0" w:line="240" w:lineRule="auto"/>
      </w:pPr>
      <w:r>
        <w:separator/>
      </w:r>
    </w:p>
  </w:footnote>
  <w:footnote w:type="continuationSeparator" w:id="0">
    <w:p w:rsidR="003B337B" w:rsidRDefault="003B3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F3" w:rsidRDefault="00FD41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F3" w:rsidRDefault="00FD41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F3" w:rsidRDefault="00FD41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2238"/>
    <w:multiLevelType w:val="hybridMultilevel"/>
    <w:tmpl w:val="EFAACECC"/>
    <w:lvl w:ilvl="0" w:tplc="93ACC556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1966198"/>
    <w:multiLevelType w:val="hybridMultilevel"/>
    <w:tmpl w:val="01042E60"/>
    <w:lvl w:ilvl="0" w:tplc="5A189F6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1852252"/>
    <w:multiLevelType w:val="hybridMultilevel"/>
    <w:tmpl w:val="9E6297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0C7FE4"/>
    <w:multiLevelType w:val="hybridMultilevel"/>
    <w:tmpl w:val="4E4650A8"/>
    <w:lvl w:ilvl="0" w:tplc="200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4688099F"/>
    <w:multiLevelType w:val="hybridMultilevel"/>
    <w:tmpl w:val="7E76D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4536B"/>
    <w:multiLevelType w:val="hybridMultilevel"/>
    <w:tmpl w:val="E9C85984"/>
    <w:lvl w:ilvl="0" w:tplc="200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563A2E08"/>
    <w:multiLevelType w:val="hybridMultilevel"/>
    <w:tmpl w:val="571C20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F2B4CED"/>
    <w:multiLevelType w:val="hybridMultilevel"/>
    <w:tmpl w:val="B0727C8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E24B6E"/>
    <w:multiLevelType w:val="hybridMultilevel"/>
    <w:tmpl w:val="D490175C"/>
    <w:lvl w:ilvl="0" w:tplc="DC1CE012">
      <w:start w:val="1"/>
      <w:numFmt w:val="decimal"/>
      <w:lvlText w:val="%1)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F9A2702"/>
    <w:multiLevelType w:val="hybridMultilevel"/>
    <w:tmpl w:val="9E780B76"/>
    <w:lvl w:ilvl="0" w:tplc="9B80EA3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4A7E44"/>
    <w:multiLevelType w:val="hybridMultilevel"/>
    <w:tmpl w:val="6AA6021A"/>
    <w:lvl w:ilvl="0" w:tplc="6DA4928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DDEE6E7C">
      <w:numFmt w:val="bullet"/>
      <w:lvlText w:val="-"/>
      <w:lvlJc w:val="left"/>
      <w:pPr>
        <w:ind w:left="1633" w:hanging="912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1" w15:restartNumberingAfterBreak="0">
    <w:nsid w:val="77653448"/>
    <w:multiLevelType w:val="hybridMultilevel"/>
    <w:tmpl w:val="DFC07CE2"/>
    <w:lvl w:ilvl="0" w:tplc="7FD21D0C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963"/>
    <w:rsid w:val="0002080F"/>
    <w:rsid w:val="000212AD"/>
    <w:rsid w:val="00040CEC"/>
    <w:rsid w:val="00044AC3"/>
    <w:rsid w:val="00060B45"/>
    <w:rsid w:val="00066991"/>
    <w:rsid w:val="000711A2"/>
    <w:rsid w:val="000724DB"/>
    <w:rsid w:val="00073A38"/>
    <w:rsid w:val="00094A04"/>
    <w:rsid w:val="000A7022"/>
    <w:rsid w:val="000B070D"/>
    <w:rsid w:val="000C3F8E"/>
    <w:rsid w:val="001416B4"/>
    <w:rsid w:val="001427EA"/>
    <w:rsid w:val="00161CBE"/>
    <w:rsid w:val="00166521"/>
    <w:rsid w:val="00187A05"/>
    <w:rsid w:val="00193040"/>
    <w:rsid w:val="001B3D97"/>
    <w:rsid w:val="001D0AAB"/>
    <w:rsid w:val="001E1533"/>
    <w:rsid w:val="00210CFD"/>
    <w:rsid w:val="00227BDB"/>
    <w:rsid w:val="00230304"/>
    <w:rsid w:val="00233016"/>
    <w:rsid w:val="00246051"/>
    <w:rsid w:val="00257F8F"/>
    <w:rsid w:val="00273440"/>
    <w:rsid w:val="002923A6"/>
    <w:rsid w:val="00293D9C"/>
    <w:rsid w:val="00296D05"/>
    <w:rsid w:val="002A0290"/>
    <w:rsid w:val="002A4576"/>
    <w:rsid w:val="002A5239"/>
    <w:rsid w:val="002C260B"/>
    <w:rsid w:val="002C293F"/>
    <w:rsid w:val="002C61D9"/>
    <w:rsid w:val="002D4B85"/>
    <w:rsid w:val="00303EC4"/>
    <w:rsid w:val="003109FE"/>
    <w:rsid w:val="0036013A"/>
    <w:rsid w:val="0038393D"/>
    <w:rsid w:val="00392E51"/>
    <w:rsid w:val="003B337B"/>
    <w:rsid w:val="003F49DE"/>
    <w:rsid w:val="00401BCE"/>
    <w:rsid w:val="00401FE5"/>
    <w:rsid w:val="00441FC0"/>
    <w:rsid w:val="00443616"/>
    <w:rsid w:val="004462E0"/>
    <w:rsid w:val="004501E8"/>
    <w:rsid w:val="00455F78"/>
    <w:rsid w:val="00462ED0"/>
    <w:rsid w:val="004634DD"/>
    <w:rsid w:val="00491748"/>
    <w:rsid w:val="00492479"/>
    <w:rsid w:val="004C7D27"/>
    <w:rsid w:val="004D4FB0"/>
    <w:rsid w:val="004E4CC5"/>
    <w:rsid w:val="004E6FC1"/>
    <w:rsid w:val="00511A4B"/>
    <w:rsid w:val="00516143"/>
    <w:rsid w:val="00520A45"/>
    <w:rsid w:val="00531B76"/>
    <w:rsid w:val="00565B83"/>
    <w:rsid w:val="005865F4"/>
    <w:rsid w:val="005A3060"/>
    <w:rsid w:val="005A5152"/>
    <w:rsid w:val="005A5C39"/>
    <w:rsid w:val="005A5FCC"/>
    <w:rsid w:val="005B3F55"/>
    <w:rsid w:val="005C464D"/>
    <w:rsid w:val="005E27F5"/>
    <w:rsid w:val="006005EE"/>
    <w:rsid w:val="00660240"/>
    <w:rsid w:val="00672335"/>
    <w:rsid w:val="00674151"/>
    <w:rsid w:val="006940DF"/>
    <w:rsid w:val="006B58FE"/>
    <w:rsid w:val="006B7575"/>
    <w:rsid w:val="006C02E7"/>
    <w:rsid w:val="006C5F1C"/>
    <w:rsid w:val="006D1E6C"/>
    <w:rsid w:val="00710B19"/>
    <w:rsid w:val="00721887"/>
    <w:rsid w:val="00727CC9"/>
    <w:rsid w:val="007309D9"/>
    <w:rsid w:val="00736230"/>
    <w:rsid w:val="00741E1F"/>
    <w:rsid w:val="00764589"/>
    <w:rsid w:val="00766F75"/>
    <w:rsid w:val="00775864"/>
    <w:rsid w:val="0077696F"/>
    <w:rsid w:val="00794267"/>
    <w:rsid w:val="007B08BF"/>
    <w:rsid w:val="007B2F1A"/>
    <w:rsid w:val="007B70F5"/>
    <w:rsid w:val="007F0C3F"/>
    <w:rsid w:val="00807975"/>
    <w:rsid w:val="00816182"/>
    <w:rsid w:val="008214A6"/>
    <w:rsid w:val="00826E58"/>
    <w:rsid w:val="0083354D"/>
    <w:rsid w:val="00897544"/>
    <w:rsid w:val="008A2022"/>
    <w:rsid w:val="008A7354"/>
    <w:rsid w:val="008B5045"/>
    <w:rsid w:val="008E0409"/>
    <w:rsid w:val="008E663F"/>
    <w:rsid w:val="008F6269"/>
    <w:rsid w:val="009070A7"/>
    <w:rsid w:val="00923937"/>
    <w:rsid w:val="00926329"/>
    <w:rsid w:val="009305F4"/>
    <w:rsid w:val="00932281"/>
    <w:rsid w:val="00946D8B"/>
    <w:rsid w:val="009501C0"/>
    <w:rsid w:val="00962257"/>
    <w:rsid w:val="00976B59"/>
    <w:rsid w:val="009844D8"/>
    <w:rsid w:val="009941CA"/>
    <w:rsid w:val="009C0C9E"/>
    <w:rsid w:val="009C2D44"/>
    <w:rsid w:val="009C2DCA"/>
    <w:rsid w:val="009D52A6"/>
    <w:rsid w:val="009F7B35"/>
    <w:rsid w:val="00A10DB5"/>
    <w:rsid w:val="00A1162F"/>
    <w:rsid w:val="00A3325E"/>
    <w:rsid w:val="00A35869"/>
    <w:rsid w:val="00A50FA8"/>
    <w:rsid w:val="00A6343C"/>
    <w:rsid w:val="00A65DF8"/>
    <w:rsid w:val="00A70B36"/>
    <w:rsid w:val="00A72437"/>
    <w:rsid w:val="00A81606"/>
    <w:rsid w:val="00A95E08"/>
    <w:rsid w:val="00AA2E65"/>
    <w:rsid w:val="00AB340A"/>
    <w:rsid w:val="00AE4DB1"/>
    <w:rsid w:val="00B06688"/>
    <w:rsid w:val="00B27CB8"/>
    <w:rsid w:val="00B32265"/>
    <w:rsid w:val="00B35E54"/>
    <w:rsid w:val="00B412A8"/>
    <w:rsid w:val="00B604FB"/>
    <w:rsid w:val="00B64203"/>
    <w:rsid w:val="00B77B5A"/>
    <w:rsid w:val="00B81975"/>
    <w:rsid w:val="00BA6C49"/>
    <w:rsid w:val="00BB68B2"/>
    <w:rsid w:val="00BF3FBA"/>
    <w:rsid w:val="00C218C4"/>
    <w:rsid w:val="00C23ABD"/>
    <w:rsid w:val="00C326BA"/>
    <w:rsid w:val="00C379FE"/>
    <w:rsid w:val="00C4687D"/>
    <w:rsid w:val="00C54365"/>
    <w:rsid w:val="00C573CF"/>
    <w:rsid w:val="00C60A0A"/>
    <w:rsid w:val="00C614E8"/>
    <w:rsid w:val="00C67A68"/>
    <w:rsid w:val="00C91440"/>
    <w:rsid w:val="00CB53AA"/>
    <w:rsid w:val="00D033F7"/>
    <w:rsid w:val="00D12321"/>
    <w:rsid w:val="00D31B3C"/>
    <w:rsid w:val="00D36740"/>
    <w:rsid w:val="00D56EDB"/>
    <w:rsid w:val="00D6112F"/>
    <w:rsid w:val="00D96445"/>
    <w:rsid w:val="00DA3F30"/>
    <w:rsid w:val="00DA6F30"/>
    <w:rsid w:val="00DD5A2D"/>
    <w:rsid w:val="00E05069"/>
    <w:rsid w:val="00E06DD4"/>
    <w:rsid w:val="00E14521"/>
    <w:rsid w:val="00E14863"/>
    <w:rsid w:val="00E1522F"/>
    <w:rsid w:val="00E20FE8"/>
    <w:rsid w:val="00E21028"/>
    <w:rsid w:val="00E21697"/>
    <w:rsid w:val="00E2574C"/>
    <w:rsid w:val="00E63963"/>
    <w:rsid w:val="00E63E1A"/>
    <w:rsid w:val="00E75156"/>
    <w:rsid w:val="00E96DC1"/>
    <w:rsid w:val="00EF22DB"/>
    <w:rsid w:val="00EF232B"/>
    <w:rsid w:val="00EF53BF"/>
    <w:rsid w:val="00F13702"/>
    <w:rsid w:val="00F47537"/>
    <w:rsid w:val="00F83B1F"/>
    <w:rsid w:val="00FB5B98"/>
    <w:rsid w:val="00FD2761"/>
    <w:rsid w:val="00FD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8944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A05"/>
    <w:rPr>
      <w:rFonts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3963"/>
    <w:pPr>
      <w:tabs>
        <w:tab w:val="center" w:pos="4677"/>
        <w:tab w:val="right" w:pos="9355"/>
      </w:tabs>
      <w:spacing w:after="0" w:line="240" w:lineRule="auto"/>
    </w:pPr>
  </w:style>
  <w:style w:type="character" w:styleId="a5">
    <w:name w:val="annotation reference"/>
    <w:basedOn w:val="a0"/>
    <w:uiPriority w:val="99"/>
    <w:semiHidden/>
    <w:rsid w:val="00D6112F"/>
    <w:rPr>
      <w:rFonts w:cs="Times New Roman"/>
      <w:sz w:val="16"/>
      <w:szCs w:val="16"/>
    </w:rPr>
  </w:style>
  <w:style w:type="character" w:styleId="a6">
    <w:name w:val="page number"/>
    <w:basedOn w:val="a0"/>
    <w:uiPriority w:val="99"/>
    <w:rsid w:val="00E63963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E63963"/>
    <w:rPr>
      <w:rFonts w:cs="Times New Roman"/>
    </w:rPr>
  </w:style>
  <w:style w:type="paragraph" w:styleId="a7">
    <w:name w:val="annotation text"/>
    <w:basedOn w:val="a"/>
    <w:link w:val="a8"/>
    <w:uiPriority w:val="99"/>
    <w:semiHidden/>
    <w:rsid w:val="00D6112F"/>
    <w:pPr>
      <w:spacing w:line="240" w:lineRule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D6112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rsid w:val="00D6112F"/>
    <w:rPr>
      <w:b/>
      <w:bCs/>
    </w:rPr>
  </w:style>
  <w:style w:type="paragraph" w:styleId="ad">
    <w:name w:val="List Paragraph"/>
    <w:basedOn w:val="a"/>
    <w:uiPriority w:val="99"/>
    <w:qFormat/>
    <w:rsid w:val="00DA3F30"/>
    <w:pPr>
      <w:ind w:left="720"/>
      <w:contextualSpacing/>
    </w:pPr>
  </w:style>
  <w:style w:type="character" w:customStyle="1" w:styleId="a8">
    <w:name w:val="Текст примітки Знак"/>
    <w:basedOn w:val="a0"/>
    <w:link w:val="a7"/>
    <w:uiPriority w:val="99"/>
    <w:semiHidden/>
    <w:locked/>
    <w:rsid w:val="00D6112F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E15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Тема примітки Знак"/>
    <w:basedOn w:val="a8"/>
    <w:link w:val="ab"/>
    <w:uiPriority w:val="99"/>
    <w:semiHidden/>
    <w:locked/>
    <w:rsid w:val="00D6112F"/>
    <w:rPr>
      <w:rFonts w:cs="Times New Roman"/>
      <w:b/>
      <w:bCs/>
      <w:sz w:val="20"/>
      <w:szCs w:val="20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D6112F"/>
    <w:rPr>
      <w:rFonts w:ascii="Segoe UI" w:hAnsi="Segoe UI" w:cs="Segoe UI"/>
      <w:sz w:val="18"/>
      <w:szCs w:val="18"/>
    </w:rPr>
  </w:style>
  <w:style w:type="character" w:customStyle="1" w:styleId="af">
    <w:name w:val="Нижній колонтитул Знак"/>
    <w:basedOn w:val="a0"/>
    <w:link w:val="ae"/>
    <w:uiPriority w:val="99"/>
    <w:locked/>
    <w:rsid w:val="00E152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5475</Words>
  <Characters>3122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2020-06-23T14:24:00Z</dcterms:created>
  <dcterms:modified xsi:type="dcterms:W3CDTF">2020-06-23T14:24:00Z</dcterms:modified>
</cp:coreProperties>
</file>