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DE4" w:rsidRDefault="006B4DE4">
      <w:pPr>
        <w:spacing w:before="60" w:after="60" w:line="240" w:lineRule="auto"/>
        <w:jc w:val="center"/>
        <w:rPr>
          <w:rFonts w:ascii="Times New Roman" w:hAnsi="Times New Roman"/>
          <w:b/>
          <w:sz w:val="28"/>
          <w:lang w:eastAsia="ru-RU"/>
        </w:rPr>
      </w:pPr>
      <w:bookmarkStart w:id="0" w:name="_GoBack"/>
      <w:bookmarkEnd w:id="0"/>
      <w:r>
        <w:rPr>
          <w:rFonts w:ascii="Times New Roman" w:hAnsi="Times New Roman"/>
          <w:b/>
          <w:sz w:val="28"/>
          <w:lang w:eastAsia="ru-RU"/>
        </w:rPr>
        <w:t>ПОЯСНЮВАЛЬНА ЗАПИСКА</w:t>
      </w:r>
    </w:p>
    <w:p w:rsidR="006B4DE4" w:rsidRDefault="006B4DE4">
      <w:pPr>
        <w:spacing w:before="60" w:after="60" w:line="240" w:lineRule="auto"/>
        <w:jc w:val="center"/>
        <w:rPr>
          <w:rFonts w:ascii="Times New Roman" w:hAnsi="Times New Roman"/>
          <w:b/>
          <w:sz w:val="28"/>
          <w:lang w:eastAsia="ru-RU"/>
        </w:rPr>
      </w:pPr>
      <w:bookmarkStart w:id="1" w:name="o939"/>
      <w:bookmarkEnd w:id="1"/>
      <w:r>
        <w:rPr>
          <w:rFonts w:ascii="Times New Roman" w:hAnsi="Times New Roman"/>
          <w:b/>
          <w:sz w:val="28"/>
          <w:lang w:eastAsia="ru-RU"/>
        </w:rPr>
        <w:t xml:space="preserve">до </w:t>
      </w:r>
      <w:bookmarkStart w:id="2" w:name="_Hlk36042744"/>
      <w:r>
        <w:rPr>
          <w:rFonts w:ascii="Times New Roman" w:hAnsi="Times New Roman"/>
          <w:b/>
          <w:sz w:val="28"/>
          <w:lang w:eastAsia="ru-RU"/>
        </w:rPr>
        <w:t>проєкту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w:t>
      </w:r>
      <w:bookmarkEnd w:id="2"/>
      <w:r>
        <w:rPr>
          <w:rFonts w:ascii="Times New Roman" w:hAnsi="Times New Roman"/>
          <w:b/>
          <w:sz w:val="28"/>
          <w:lang w:eastAsia="ru-RU"/>
        </w:rPr>
        <w:t>»</w:t>
      </w:r>
    </w:p>
    <w:p w:rsidR="006B4DE4" w:rsidRDefault="006B4DE4" w:rsidP="000116D0">
      <w:pPr>
        <w:spacing w:after="0" w:line="240" w:lineRule="auto"/>
        <w:ind w:firstLine="567"/>
        <w:jc w:val="center"/>
        <w:rPr>
          <w:rFonts w:ascii="Times New Roman" w:hAnsi="Times New Roman"/>
          <w:sz w:val="28"/>
          <w:lang w:eastAsia="ru-RU"/>
        </w:rPr>
      </w:pPr>
    </w:p>
    <w:p w:rsidR="006B4DE4" w:rsidRDefault="006B4DE4" w:rsidP="000116D0">
      <w:pPr>
        <w:spacing w:after="0" w:line="240" w:lineRule="auto"/>
        <w:ind w:firstLine="567"/>
        <w:jc w:val="both"/>
        <w:rPr>
          <w:rFonts w:ascii="Times New Roman" w:hAnsi="Times New Roman"/>
          <w:b/>
          <w:sz w:val="28"/>
          <w:lang w:eastAsia="ru-RU"/>
        </w:rPr>
      </w:pPr>
      <w:bookmarkStart w:id="3" w:name="o940"/>
      <w:bookmarkEnd w:id="3"/>
      <w:r>
        <w:rPr>
          <w:rFonts w:ascii="Times New Roman" w:hAnsi="Times New Roman"/>
          <w:b/>
          <w:sz w:val="28"/>
          <w:lang w:eastAsia="ru-RU"/>
        </w:rPr>
        <w:t>1. Резюме</w:t>
      </w:r>
    </w:p>
    <w:p w:rsidR="006B4DE4" w:rsidRDefault="006B4DE4" w:rsidP="000116D0">
      <w:pPr>
        <w:spacing w:after="0" w:line="240" w:lineRule="auto"/>
        <w:ind w:firstLine="567"/>
        <w:jc w:val="both"/>
        <w:rPr>
          <w:rFonts w:ascii="Times New Roman" w:hAnsi="Times New Roman"/>
          <w:sz w:val="28"/>
          <w:lang w:eastAsia="ru-RU"/>
        </w:rPr>
      </w:pPr>
      <w:r>
        <w:rPr>
          <w:rFonts w:ascii="Times New Roman" w:hAnsi="Times New Roman"/>
          <w:sz w:val="28"/>
          <w:lang w:eastAsia="ru-RU"/>
        </w:rPr>
        <w:t>Створення передумов для сталого функціонування та розвитку сфери відновлюваної енергетики України в економічно ефективний спосіб шляхом удосконалення умов підтримки виробництва електричної енергії з альтернативних джерел енергії, що спрямоване на вирішення нагальних економічних і технічних викликів в галузі.</w:t>
      </w:r>
    </w:p>
    <w:p w:rsidR="006B4DE4" w:rsidRDefault="006B4DE4" w:rsidP="000116D0">
      <w:pPr>
        <w:spacing w:after="0" w:line="240" w:lineRule="auto"/>
        <w:ind w:firstLine="567"/>
        <w:jc w:val="both"/>
        <w:rPr>
          <w:rFonts w:ascii="Times New Roman" w:hAnsi="Times New Roman"/>
          <w:b/>
          <w:sz w:val="28"/>
          <w:lang w:eastAsia="ru-RU"/>
        </w:rPr>
      </w:pPr>
    </w:p>
    <w:p w:rsidR="006B4DE4" w:rsidRDefault="006B4DE4" w:rsidP="000116D0">
      <w:pPr>
        <w:spacing w:after="0" w:line="240" w:lineRule="auto"/>
        <w:ind w:firstLine="567"/>
        <w:jc w:val="both"/>
        <w:rPr>
          <w:rFonts w:ascii="Times New Roman" w:hAnsi="Times New Roman"/>
          <w:b/>
          <w:sz w:val="28"/>
          <w:lang w:eastAsia="ru-RU"/>
        </w:rPr>
      </w:pPr>
      <w:r>
        <w:rPr>
          <w:rFonts w:ascii="Times New Roman" w:hAnsi="Times New Roman"/>
          <w:b/>
          <w:sz w:val="28"/>
          <w:lang w:eastAsia="ru-RU"/>
        </w:rPr>
        <w:t>2. Проблема, яка потребує розв’язання</w:t>
      </w:r>
    </w:p>
    <w:p w:rsidR="006B4DE4" w:rsidRDefault="006B4DE4" w:rsidP="000116D0">
      <w:pPr>
        <w:spacing w:after="0" w:line="240" w:lineRule="auto"/>
        <w:ind w:firstLine="567"/>
        <w:jc w:val="both"/>
        <w:rPr>
          <w:rFonts w:ascii="Times New Roman" w:hAnsi="Times New Roman"/>
          <w:b/>
          <w:sz w:val="28"/>
          <w:lang w:eastAsia="ru-RU"/>
        </w:rPr>
      </w:pPr>
    </w:p>
    <w:p w:rsidR="006B4DE4" w:rsidRDefault="006B4DE4" w:rsidP="000116D0">
      <w:pPr>
        <w:spacing w:after="0" w:line="240" w:lineRule="auto"/>
        <w:ind w:firstLine="567"/>
        <w:jc w:val="both"/>
        <w:rPr>
          <w:rFonts w:ascii="Times New Roman" w:hAnsi="Times New Roman"/>
          <w:sz w:val="28"/>
          <w:szCs w:val="28"/>
        </w:rPr>
      </w:pPr>
      <w:bookmarkStart w:id="4" w:name="_Hlk36047176"/>
      <w:r>
        <w:rPr>
          <w:rFonts w:ascii="Times New Roman" w:hAnsi="Times New Roman"/>
          <w:sz w:val="28"/>
          <w:szCs w:val="28"/>
        </w:rPr>
        <w:t>Враховуючи створені державою стимули, а саме – високий «зелений» тариф на вироблену з альтернативних джерел електричну енергію в обсязі       9,2</w:t>
      </w:r>
      <w:r>
        <w:rPr>
          <w:rFonts w:ascii="Times New Roman" w:hAnsi="Times New Roman"/>
          <w:sz w:val="28"/>
          <w:szCs w:val="28"/>
          <w:lang w:val="en-US"/>
        </w:rPr>
        <w:t> </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46 євроцентів/кВтгод (залежно від типу енергооб’єкту та дати уведення його в експлуатацію), впродовж останніх років в Україні спостерігається стрімке зростання встановлених потужностей об’єктів відновлюваної енергетики. Так, потужність об’єктів, які використовують відновлювані джерела енергії (далі – ВДЕ) зросла на 30% (+0,3 ГВт) за 2017 рік, на 66% (+0,9</w:t>
      </w:r>
      <w:r>
        <w:rPr>
          <w:rFonts w:ascii="Times New Roman" w:hAnsi="Times New Roman"/>
          <w:sz w:val="28"/>
          <w:szCs w:val="28"/>
          <w:lang w:val="en-US"/>
        </w:rPr>
        <w:t> </w:t>
      </w:r>
      <w:r>
        <w:rPr>
          <w:rFonts w:ascii="Times New Roman" w:hAnsi="Times New Roman"/>
          <w:sz w:val="28"/>
          <w:szCs w:val="28"/>
        </w:rPr>
        <w:t xml:space="preserve">ГВт) за 2018 рік, та майже втричі впродовж 2019 року (+4,3 ГВт). </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Станом на </w:t>
      </w:r>
      <w:r w:rsidR="000116D0">
        <w:rPr>
          <w:rFonts w:ascii="Times New Roman" w:hAnsi="Times New Roman"/>
          <w:sz w:val="28"/>
          <w:szCs w:val="28"/>
        </w:rPr>
        <w:t>початок червня</w:t>
      </w:r>
      <w:r>
        <w:rPr>
          <w:rFonts w:ascii="Times New Roman" w:hAnsi="Times New Roman"/>
          <w:sz w:val="28"/>
          <w:szCs w:val="28"/>
        </w:rPr>
        <w:t xml:space="preserve"> травня встановлена потужність об’єктів відновлюваної енергетики, що приєднані до об’єднаної електроенергетичної системи (далі</w:t>
      </w:r>
      <w:r w:rsidR="00581213">
        <w:rPr>
          <w:rFonts w:ascii="Times New Roman" w:hAnsi="Times New Roman"/>
          <w:sz w:val="28"/>
          <w:szCs w:val="28"/>
        </w:rPr>
        <w:t> </w:t>
      </w:r>
      <w:r>
        <w:rPr>
          <w:rFonts w:ascii="Times New Roman" w:hAnsi="Times New Roman"/>
          <w:sz w:val="28"/>
          <w:szCs w:val="28"/>
        </w:rPr>
        <w:t>–</w:t>
      </w:r>
      <w:r w:rsidR="00581213">
        <w:rPr>
          <w:rFonts w:ascii="Times New Roman" w:hAnsi="Times New Roman"/>
          <w:sz w:val="28"/>
          <w:szCs w:val="28"/>
        </w:rPr>
        <w:t> </w:t>
      </w:r>
      <w:r>
        <w:rPr>
          <w:rFonts w:ascii="Times New Roman" w:hAnsi="Times New Roman"/>
          <w:sz w:val="28"/>
          <w:szCs w:val="28"/>
        </w:rPr>
        <w:t>ОЕС) України, становить 7</w:t>
      </w:r>
      <w:r>
        <w:rPr>
          <w:rFonts w:ascii="Times New Roman" w:hAnsi="Times New Roman"/>
          <w:sz w:val="28"/>
          <w:szCs w:val="28"/>
          <w:lang w:val="en-US"/>
        </w:rPr>
        <w:t> </w:t>
      </w:r>
      <w:r>
        <w:rPr>
          <w:rFonts w:ascii="Times New Roman" w:hAnsi="Times New Roman"/>
          <w:sz w:val="28"/>
          <w:szCs w:val="28"/>
        </w:rPr>
        <w:t>ГВт, не враховуючи великі ГЕС, об’єкти з ВДЕ на окупованих територіях (637МВт) та малі сонячні електростанції</w:t>
      </w:r>
      <w:r w:rsidR="000116D0">
        <w:rPr>
          <w:rFonts w:ascii="Times New Roman" w:hAnsi="Times New Roman"/>
          <w:sz w:val="28"/>
          <w:szCs w:val="28"/>
        </w:rPr>
        <w:t xml:space="preserve"> приватних</w:t>
      </w:r>
      <w:r>
        <w:rPr>
          <w:rFonts w:ascii="Times New Roman" w:hAnsi="Times New Roman"/>
          <w:sz w:val="28"/>
          <w:szCs w:val="28"/>
        </w:rPr>
        <w:t xml:space="preserve"> домогосподарств (</w:t>
      </w:r>
      <w:r w:rsidR="00A2239A" w:rsidRPr="00A2239A">
        <w:rPr>
          <w:rFonts w:ascii="Times New Roman" w:hAnsi="Times New Roman"/>
          <w:sz w:val="28"/>
          <w:szCs w:val="28"/>
        </w:rPr>
        <w:t>&gt;</w:t>
      </w:r>
      <w:r>
        <w:rPr>
          <w:rFonts w:ascii="Times New Roman" w:hAnsi="Times New Roman"/>
          <w:sz w:val="28"/>
          <w:szCs w:val="28"/>
        </w:rPr>
        <w:t xml:space="preserve">618 МВт). За 2019 рік частка виробленої з використанням  ВДЕ, включно з великими гідроелектростанціями, електричної енергії у загальному енергетичному балансі країни склала 8,7%, що значно перевищує закладений в Енергетичній стратегії України показник – 7% у 2020 році. Причому, обсяг відпуску електричної енергії об’єктами відновлюваної енергетики (без великих ГЕС) становив 5,8 млрд кВтгод, що вдвічі більше, ніж в минулому 2018 році (2,8 млрд. кВтгод) та досягнув </w:t>
      </w:r>
      <w:r w:rsidR="0063438C">
        <w:rPr>
          <w:rFonts w:ascii="Times New Roman" w:hAnsi="Times New Roman"/>
          <w:sz w:val="28"/>
          <w:szCs w:val="28"/>
        </w:rPr>
        <w:t>3,6</w:t>
      </w:r>
      <w:r>
        <w:rPr>
          <w:rFonts w:ascii="Times New Roman" w:hAnsi="Times New Roman"/>
          <w:sz w:val="28"/>
          <w:szCs w:val="28"/>
        </w:rPr>
        <w:t>% від загального обсягу споживання електричної енергії.</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Разом з тим, через відсутність зворотних зв’язків та ринкових механізмів ціноутворення, система підтримки відновлюваної енергетики за моделлю «зеленого» тарифу не сформувала сталого підходу до розвитку галузі. Стрімке зростання частки генерації сонячних (далі – СЕС) та вітрових (далі – ВЕС) електростанцій за такої моделі створ</w:t>
      </w:r>
      <w:r w:rsidR="000116D0">
        <w:rPr>
          <w:rFonts w:ascii="Times New Roman" w:hAnsi="Times New Roman"/>
          <w:sz w:val="28"/>
          <w:szCs w:val="28"/>
        </w:rPr>
        <w:t>ило</w:t>
      </w:r>
      <w:r>
        <w:rPr>
          <w:rFonts w:ascii="Times New Roman" w:hAnsi="Times New Roman"/>
          <w:sz w:val="28"/>
          <w:szCs w:val="28"/>
        </w:rPr>
        <w:t xml:space="preserve"> ряд економічних і технічних викликів, пов’язаних як з високою вартістю виробленої «зеленої» електроенергії, так і з обмеженими можливостями ОЕС України до інтеграції об’єктів </w:t>
      </w:r>
      <w:bookmarkStart w:id="5" w:name="_Hlk36046915"/>
      <w:r>
        <w:rPr>
          <w:rFonts w:ascii="Times New Roman" w:hAnsi="Times New Roman"/>
          <w:sz w:val="28"/>
          <w:szCs w:val="28"/>
        </w:rPr>
        <w:t xml:space="preserve">відновлюваної енергетики, які мають змінний, негарантований графік виробництва </w:t>
      </w:r>
      <w:bookmarkEnd w:id="5"/>
      <w:r>
        <w:rPr>
          <w:rFonts w:ascii="Times New Roman" w:hAnsi="Times New Roman"/>
          <w:sz w:val="28"/>
          <w:szCs w:val="28"/>
        </w:rPr>
        <w:t>електроенергії.</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За прогнозом Мінекоенерго, у 2020 році сума виплат виробникам за «зеленим» тарифом складе понад 52 млрд грн (без ПДВ). При цьому, обсяг додаткової надбавки таким виробникам до ринкової ціни на електричну енергію </w:t>
      </w:r>
      <w:r>
        <w:rPr>
          <w:rFonts w:ascii="Times New Roman" w:hAnsi="Times New Roman"/>
          <w:sz w:val="28"/>
          <w:szCs w:val="28"/>
        </w:rPr>
        <w:lastRenderedPageBreak/>
        <w:t>у 2020 році перевищить 33 млрд грн. Як наслідок, прогнозується поява значного дефіциту ДП «Гарантований покупець», що відповідає за здійснення оплати виробникам за «зеленим» тарифом, в обсязі близько 26 млрд грн залежно від ціни на ринку на добу наперед та курсу євро. Як наслідок, така ситуація вже призводить до затримки із розрахунками з виробниками за «зеленим» тарифом.</w:t>
      </w:r>
    </w:p>
    <w:p w:rsidR="00D7337E" w:rsidRDefault="00D7337E" w:rsidP="000116D0">
      <w:pPr>
        <w:spacing w:after="0" w:line="240" w:lineRule="auto"/>
        <w:ind w:firstLine="567"/>
        <w:jc w:val="both"/>
        <w:rPr>
          <w:rFonts w:ascii="Times New Roman" w:hAnsi="Times New Roman"/>
          <w:sz w:val="28"/>
          <w:szCs w:val="28"/>
        </w:rPr>
      </w:pPr>
      <w:r w:rsidRPr="00D7337E">
        <w:rPr>
          <w:rFonts w:ascii="Times New Roman" w:hAnsi="Times New Roman"/>
          <w:sz w:val="28"/>
          <w:szCs w:val="28"/>
        </w:rPr>
        <w:t>Так, станом на початок червня 2020 року, поточний обсяг заборгованості ДП «Гарантований покупець» перед виробниками з ВДЕ за відпущену в 2020 році електричну енергію вже становить близько 14 млрд грн.</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Окрім фінансових викликів мають місце ризики технічного характеру, пов’язані складністю забезпечення операційної безпеки ОЕС України в умовах стрімкого неконтрольованого зростання встановленої потужності об’єктів відновлюваної енергетики. </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Наразі в електроенергетичній системі України вже відчувається брак гнучкості генеруючих потужностей, яка необхідна для забезпечення інтеграції таких об’єктів, особливо зі змінним графіком генерації, що призводить до неекономічних режимів функціонування ОЕС України. </w:t>
      </w:r>
      <w:r>
        <w:rPr>
          <w:rFonts w:ascii="Times New Roman" w:hAnsi="Times New Roman"/>
          <w:color w:val="000000"/>
          <w:sz w:val="28"/>
          <w:szCs w:val="28"/>
        </w:rPr>
        <w:t>Зокрема</w:t>
      </w:r>
      <w:r>
        <w:rPr>
          <w:rFonts w:ascii="Times New Roman" w:hAnsi="Times New Roman"/>
          <w:sz w:val="28"/>
          <w:szCs w:val="28"/>
        </w:rPr>
        <w:t>, з метою збалансування режиму, за командою диспетчера ПрАТ «НЕК</w:t>
      </w:r>
      <w:r>
        <w:rPr>
          <w:rFonts w:ascii="Times New Roman" w:hAnsi="Times New Roman"/>
          <w:sz w:val="28"/>
          <w:szCs w:val="28"/>
          <w:lang w:val="en-US"/>
        </w:rPr>
        <w:t> </w:t>
      </w:r>
      <w:r w:rsidR="00581213">
        <w:rPr>
          <w:rFonts w:ascii="Times New Roman" w:hAnsi="Times New Roman"/>
          <w:sz w:val="28"/>
          <w:szCs w:val="28"/>
        </w:rPr>
        <w:t>«Укренерго</w:t>
      </w:r>
      <w:r>
        <w:rPr>
          <w:rFonts w:ascii="Times New Roman" w:hAnsi="Times New Roman"/>
          <w:sz w:val="28"/>
          <w:szCs w:val="28"/>
        </w:rPr>
        <w:t xml:space="preserve">» (оператором системи передачі, далі – ОСП) гідроакумулюючі станції вмикаються на завантаження не лише в нічні години,(коли енергія найдешевша, для вирівнювання при цьому добовий графік), а в денні, з метою споживання надлишкової генерації об’єктів з ВДЕ за високим тарифом. Ситуація додатково ускладняється низькою точністю прогнозування графіків відпуску електричної енергії виробниками з альтернативних джерел, яка обумовлена відсутністю фінансової відповідальності таких виробників за створені ними небаланси (на відміну від інших учасників ринку), що у підсумку призводить до зростання вимог щодо обсягу резервів первинного/вторинного регулювання, яких і так бракує. </w:t>
      </w:r>
    </w:p>
    <w:p w:rsidR="006B4DE4" w:rsidRDefault="006B4DE4" w:rsidP="000116D0">
      <w:pPr>
        <w:spacing w:after="0" w:line="240" w:lineRule="auto"/>
        <w:ind w:firstLine="567"/>
        <w:jc w:val="both"/>
        <w:rPr>
          <w:rFonts w:ascii="Times New Roman" w:hAnsi="Times New Roman"/>
          <w:sz w:val="28"/>
          <w:szCs w:val="28"/>
          <w:lang w:val="ru-RU" w:eastAsia="ru-RU"/>
        </w:rPr>
      </w:pPr>
      <w:r>
        <w:rPr>
          <w:rFonts w:ascii="Times New Roman" w:hAnsi="Times New Roman"/>
          <w:sz w:val="28"/>
          <w:szCs w:val="28"/>
        </w:rPr>
        <w:t>Так, для забезпечення балансової надійності режимів ОЕС України ОСП вже був вимушений застосовувати обмеження генерації з ВДЕ. На початку листопада 2019 за командою диспетчера ПрАТ </w:t>
      </w:r>
      <w:r>
        <w:rPr>
          <w:rFonts w:ascii="Times New Roman" w:hAnsi="Times New Roman"/>
          <w:sz w:val="28"/>
          <w:szCs w:val="28"/>
          <w:lang w:eastAsia="ru-RU"/>
        </w:rPr>
        <w:t>«</w:t>
      </w:r>
      <w:r>
        <w:rPr>
          <w:rFonts w:ascii="Times New Roman" w:hAnsi="Times New Roman"/>
          <w:sz w:val="28"/>
          <w:szCs w:val="28"/>
        </w:rPr>
        <w:t xml:space="preserve">НЕК </w:t>
      </w:r>
      <w:r>
        <w:rPr>
          <w:rFonts w:ascii="Times New Roman" w:hAnsi="Times New Roman"/>
          <w:sz w:val="28"/>
          <w:szCs w:val="28"/>
          <w:lang w:eastAsia="ru-RU"/>
        </w:rPr>
        <w:t>«</w:t>
      </w:r>
      <w:r>
        <w:rPr>
          <w:rFonts w:ascii="Times New Roman" w:hAnsi="Times New Roman"/>
          <w:sz w:val="28"/>
          <w:szCs w:val="28"/>
        </w:rPr>
        <w:t>Укренерго</w:t>
      </w:r>
      <w:r>
        <w:rPr>
          <w:rFonts w:ascii="Times New Roman" w:hAnsi="Times New Roman"/>
          <w:sz w:val="28"/>
          <w:szCs w:val="28"/>
          <w:lang w:eastAsia="ru-RU"/>
        </w:rPr>
        <w:t>»</w:t>
      </w:r>
      <w:r>
        <w:rPr>
          <w:rFonts w:ascii="Times New Roman" w:hAnsi="Times New Roman"/>
          <w:sz w:val="28"/>
          <w:szCs w:val="28"/>
        </w:rPr>
        <w:t xml:space="preserve"> вперше була обмежена генерація ВЕС в розрахунковому обсязі 0,3 млн кВтгод. Зазначена ситуація повторювалася у грудні 2019 року, у січні та березні 2020 року. Водночас, в найближчі роки</w:t>
      </w:r>
      <w:r>
        <w:rPr>
          <w:rFonts w:ascii="Times New Roman" w:hAnsi="Times New Roman"/>
          <w:sz w:val="28"/>
          <w:szCs w:val="28"/>
          <w:lang w:val="ru-RU"/>
        </w:rPr>
        <w:t xml:space="preserve"> </w:t>
      </w:r>
      <w:r>
        <w:rPr>
          <w:rFonts w:ascii="Times New Roman" w:hAnsi="Times New Roman"/>
          <w:sz w:val="28"/>
          <w:szCs w:val="28"/>
        </w:rPr>
        <w:t xml:space="preserve">такі обмеження прогнозовано можуть сягати - </w:t>
      </w:r>
      <w:r>
        <w:rPr>
          <w:rFonts w:ascii="Times New Roman" w:hAnsi="Times New Roman"/>
          <w:sz w:val="28"/>
          <w:szCs w:val="28"/>
          <w:lang w:eastAsia="ru-RU"/>
        </w:rPr>
        <w:t>від 1 до 3</w:t>
      </w:r>
      <w:r>
        <w:rPr>
          <w:rFonts w:ascii="Times New Roman" w:hAnsi="Times New Roman"/>
          <w:sz w:val="28"/>
          <w:szCs w:val="28"/>
          <w:lang w:val="en-US" w:eastAsia="ru-RU"/>
        </w:rPr>
        <w:t> </w:t>
      </w:r>
      <w:r>
        <w:rPr>
          <w:rFonts w:ascii="Times New Roman" w:hAnsi="Times New Roman"/>
          <w:sz w:val="28"/>
          <w:szCs w:val="28"/>
          <w:lang w:eastAsia="ru-RU"/>
        </w:rPr>
        <w:t xml:space="preserve">млрд. кВтгод/рік залежно від встановленої потужності об’єктів ВДЕ. </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Необхідно зазначити, згідно зі статтею 68 Закону України </w:t>
      </w:r>
      <w:r>
        <w:rPr>
          <w:rFonts w:ascii="Times New Roman" w:hAnsi="Times New Roman"/>
          <w:sz w:val="28"/>
          <w:szCs w:val="28"/>
        </w:rPr>
        <w:t>«</w:t>
      </w:r>
      <w:r>
        <w:rPr>
          <w:rFonts w:ascii="Times New Roman" w:hAnsi="Times New Roman"/>
          <w:sz w:val="28"/>
          <w:szCs w:val="28"/>
          <w:lang w:eastAsia="ru-RU"/>
        </w:rPr>
        <w:t>Про ринок електричної енергії</w:t>
      </w:r>
      <w:r>
        <w:rPr>
          <w:rFonts w:ascii="Times New Roman" w:hAnsi="Times New Roman"/>
          <w:sz w:val="28"/>
          <w:szCs w:val="28"/>
        </w:rPr>
        <w:t>»</w:t>
      </w:r>
      <w:r>
        <w:rPr>
          <w:rFonts w:ascii="Times New Roman" w:hAnsi="Times New Roman"/>
          <w:sz w:val="28"/>
          <w:szCs w:val="28"/>
          <w:lang w:eastAsia="ru-RU"/>
        </w:rPr>
        <w:t xml:space="preserve">, у разі обмеження ОСП потужності об’єктів з ВДЕ, відповідний недовідпуск має бути оплачено за </w:t>
      </w:r>
      <w:r>
        <w:rPr>
          <w:rFonts w:ascii="Times New Roman" w:hAnsi="Times New Roman"/>
          <w:sz w:val="28"/>
          <w:szCs w:val="28"/>
        </w:rPr>
        <w:t>«</w:t>
      </w:r>
      <w:r>
        <w:rPr>
          <w:rFonts w:ascii="Times New Roman" w:hAnsi="Times New Roman"/>
          <w:sz w:val="28"/>
          <w:szCs w:val="28"/>
          <w:lang w:eastAsia="ru-RU"/>
        </w:rPr>
        <w:t>зеленим</w:t>
      </w:r>
      <w:r>
        <w:rPr>
          <w:rFonts w:ascii="Times New Roman" w:hAnsi="Times New Roman"/>
          <w:sz w:val="28"/>
          <w:szCs w:val="28"/>
        </w:rPr>
        <w:t>»</w:t>
      </w:r>
      <w:r>
        <w:rPr>
          <w:rFonts w:ascii="Times New Roman" w:hAnsi="Times New Roman"/>
          <w:sz w:val="28"/>
          <w:szCs w:val="28"/>
          <w:lang w:eastAsia="ru-RU"/>
        </w:rPr>
        <w:t xml:space="preserve"> тарифом. Водночас, законодавством чітко не визначено суб’єкта, який має здійснювати таку оплату, відсутня також методика розрахунку обсягу недовідпуску та відповідного компенсаційного платежу. Тому, на даний час оплата за обмеження відпуску електричної енергії не здійснюється.</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Слід зазначити, що поточна ситуація має тенденцію до ускладнення. Через збільшення обсягу встановленої потужності об’єктів з ВДЕ та відпуску </w:t>
      </w:r>
      <w:r>
        <w:rPr>
          <w:rFonts w:ascii="Times New Roman" w:hAnsi="Times New Roman"/>
          <w:sz w:val="28"/>
          <w:szCs w:val="28"/>
        </w:rPr>
        <w:lastRenderedPageBreak/>
        <w:t>електричної енергії за «зеленим» тарифом гострота проблеми з дефіцитом</w:t>
      </w:r>
      <w:r w:rsidR="00DF7C1A">
        <w:rPr>
          <w:rFonts w:ascii="Times New Roman" w:hAnsi="Times New Roman"/>
          <w:sz w:val="28"/>
          <w:szCs w:val="28"/>
        </w:rPr>
        <w:t xml:space="preserve"> кошторису</w:t>
      </w:r>
      <w:r>
        <w:rPr>
          <w:rFonts w:ascii="Times New Roman" w:hAnsi="Times New Roman"/>
          <w:sz w:val="28"/>
          <w:szCs w:val="28"/>
        </w:rPr>
        <w:t xml:space="preserve"> </w:t>
      </w:r>
      <w:r w:rsidR="00DF7C1A">
        <w:rPr>
          <w:rFonts w:ascii="Times New Roman" w:hAnsi="Times New Roman"/>
          <w:sz w:val="28"/>
          <w:szCs w:val="28"/>
        </w:rPr>
        <w:t xml:space="preserve">ДП </w:t>
      </w:r>
      <w:r w:rsidR="00DF7C1A">
        <w:rPr>
          <w:rFonts w:ascii="Times New Roman" w:hAnsi="Times New Roman"/>
          <w:sz w:val="28"/>
          <w:szCs w:val="28"/>
          <w:lang w:val="ru-RU"/>
        </w:rPr>
        <w:t>«</w:t>
      </w:r>
      <w:r w:rsidR="00DF7C1A">
        <w:rPr>
          <w:rFonts w:ascii="Times New Roman" w:hAnsi="Times New Roman"/>
          <w:sz w:val="28"/>
          <w:szCs w:val="28"/>
        </w:rPr>
        <w:t>Гарантований покупець</w:t>
      </w:r>
      <w:r w:rsidR="00DF7C1A">
        <w:rPr>
          <w:rFonts w:ascii="Times New Roman" w:hAnsi="Times New Roman"/>
          <w:sz w:val="28"/>
          <w:szCs w:val="28"/>
          <w:lang w:val="ru-RU"/>
        </w:rPr>
        <w:t>»</w:t>
      </w:r>
      <w:r>
        <w:rPr>
          <w:rFonts w:ascii="Times New Roman" w:hAnsi="Times New Roman"/>
          <w:sz w:val="28"/>
          <w:szCs w:val="28"/>
        </w:rPr>
        <w:t xml:space="preserve"> буде наростати. Так, за даними ДП</w:t>
      </w:r>
      <w:r w:rsidR="00DF7C1A">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Гарантований покупець</w:t>
      </w:r>
      <w:r>
        <w:rPr>
          <w:rFonts w:ascii="Times New Roman" w:hAnsi="Times New Roman"/>
          <w:sz w:val="28"/>
          <w:szCs w:val="28"/>
          <w:lang w:val="ru-RU"/>
        </w:rPr>
        <w:t>»</w:t>
      </w:r>
      <w:r>
        <w:rPr>
          <w:rFonts w:ascii="Times New Roman" w:hAnsi="Times New Roman"/>
          <w:sz w:val="28"/>
          <w:szCs w:val="28"/>
        </w:rPr>
        <w:t xml:space="preserve">, на кінець січня 2020 року договорів </w:t>
      </w:r>
      <w:r>
        <w:rPr>
          <w:rFonts w:ascii="Times New Roman" w:hAnsi="Times New Roman"/>
          <w:sz w:val="28"/>
          <w:szCs w:val="28"/>
          <w:lang w:val="en-US"/>
        </w:rPr>
        <w:t>pre</w:t>
      </w:r>
      <w:r w:rsidR="00DF7C1A">
        <w:rPr>
          <w:rFonts w:ascii="Times New Roman" w:hAnsi="Times New Roman"/>
          <w:sz w:val="28"/>
          <w:szCs w:val="28"/>
        </w:rPr>
        <w:t>-</w:t>
      </w:r>
      <w:r>
        <w:rPr>
          <w:rFonts w:ascii="Times New Roman" w:hAnsi="Times New Roman"/>
          <w:sz w:val="28"/>
          <w:szCs w:val="28"/>
          <w:lang w:val="en-US"/>
        </w:rPr>
        <w:t>PPA</w:t>
      </w:r>
      <w:r>
        <w:rPr>
          <w:rFonts w:ascii="Times New Roman" w:hAnsi="Times New Roman"/>
          <w:sz w:val="28"/>
          <w:szCs w:val="28"/>
        </w:rPr>
        <w:t xml:space="preserve"> було укладено на загальну потужність близько 8,5 ГВт, яка має бути введена в експлуатацію протягом 2020-2022 років. Зокрема, з початку року встановлена потужність об’єктів відновлюваної енергетики за «зеленим» тарифом (в основному СЕС) зросла ще на 743 МВт.</w:t>
      </w:r>
    </w:p>
    <w:bookmarkEnd w:id="4"/>
    <w:p w:rsidR="006B4DE4" w:rsidRDefault="006B4DE4" w:rsidP="000116D0">
      <w:pPr>
        <w:spacing w:after="0" w:line="240" w:lineRule="auto"/>
        <w:ind w:firstLine="567"/>
        <w:jc w:val="both"/>
        <w:rPr>
          <w:rStyle w:val="2"/>
          <w:sz w:val="28"/>
          <w:szCs w:val="28"/>
        </w:rPr>
      </w:pPr>
      <w:r>
        <w:rPr>
          <w:rFonts w:ascii="Times New Roman" w:hAnsi="Times New Roman"/>
          <w:sz w:val="28"/>
          <w:szCs w:val="28"/>
        </w:rPr>
        <w:t>Разом з тим, перераховані виклики не означають необхідність зупинки розвитку сектору. Питання забезпечення сталого розвитку відновлюваної енергетики, як ключов</w:t>
      </w:r>
      <w:r w:rsidR="000116D0">
        <w:rPr>
          <w:rFonts w:ascii="Times New Roman" w:hAnsi="Times New Roman"/>
          <w:sz w:val="28"/>
          <w:szCs w:val="28"/>
        </w:rPr>
        <w:t>ого</w:t>
      </w:r>
      <w:r>
        <w:rPr>
          <w:rFonts w:ascii="Times New Roman" w:hAnsi="Times New Roman"/>
          <w:sz w:val="28"/>
          <w:szCs w:val="28"/>
        </w:rPr>
        <w:t xml:space="preserve"> інструмент</w:t>
      </w:r>
      <w:r w:rsidR="000116D0">
        <w:rPr>
          <w:rFonts w:ascii="Times New Roman" w:hAnsi="Times New Roman"/>
          <w:sz w:val="28"/>
          <w:szCs w:val="28"/>
        </w:rPr>
        <w:t>у</w:t>
      </w:r>
      <w:r>
        <w:rPr>
          <w:rStyle w:val="2"/>
          <w:sz w:val="28"/>
          <w:szCs w:val="28"/>
        </w:rPr>
        <w:t xml:space="preserve"> гарантування енергетичної незалежності держави залишається серед пріоритетів державної політики України в паливно – енергетичному комплексі.</w:t>
      </w:r>
    </w:p>
    <w:p w:rsidR="006B4DE4" w:rsidRDefault="006B4DE4" w:rsidP="000116D0">
      <w:pPr>
        <w:spacing w:after="0" w:line="240" w:lineRule="auto"/>
        <w:ind w:firstLine="567"/>
        <w:jc w:val="both"/>
        <w:rPr>
          <w:rStyle w:val="2"/>
          <w:sz w:val="28"/>
          <w:szCs w:val="28"/>
        </w:rPr>
      </w:pPr>
      <w:r>
        <w:rPr>
          <w:rStyle w:val="2"/>
          <w:sz w:val="28"/>
          <w:szCs w:val="28"/>
          <w:lang w:val="ru-RU"/>
        </w:rPr>
        <w:t>С</w:t>
      </w:r>
      <w:r>
        <w:rPr>
          <w:rStyle w:val="2"/>
          <w:sz w:val="28"/>
          <w:szCs w:val="28"/>
        </w:rPr>
        <w:t xml:space="preserve">вітовий досвід переконує, що в сучасних умовах </w:t>
      </w:r>
      <w:r>
        <w:rPr>
          <w:rFonts w:ascii="Times New Roman" w:hAnsi="Times New Roman"/>
          <w:sz w:val="28"/>
          <w:szCs w:val="28"/>
        </w:rPr>
        <w:t>«</w:t>
      </w:r>
      <w:r>
        <w:rPr>
          <w:rStyle w:val="2"/>
          <w:sz w:val="28"/>
          <w:szCs w:val="28"/>
        </w:rPr>
        <w:t>зелена</w:t>
      </w:r>
      <w:r>
        <w:rPr>
          <w:rFonts w:ascii="Times New Roman" w:hAnsi="Times New Roman"/>
          <w:sz w:val="28"/>
          <w:szCs w:val="28"/>
        </w:rPr>
        <w:t>»</w:t>
      </w:r>
      <w:r>
        <w:rPr>
          <w:rStyle w:val="2"/>
          <w:sz w:val="28"/>
          <w:szCs w:val="28"/>
        </w:rPr>
        <w:t xml:space="preserve"> енергія може бути не лише екологічно чистою, але й дешевою, якісною, з надійним постачанням. Українські споживачі, як і споживачі в багатьох країнах світу, мають відчути усі переваги відновлюваної енергетики, отримавши доступ до дешевих чистих енергоресурсів та технологій. При цьому, для інвесторів повинні бути забезпечені прозорі конкурентні умови підтримки і відповідні державні гарантії.</w:t>
      </w:r>
    </w:p>
    <w:p w:rsidR="006B4DE4" w:rsidRDefault="006B4DE4" w:rsidP="000116D0">
      <w:pPr>
        <w:spacing w:after="0" w:line="240" w:lineRule="auto"/>
        <w:ind w:firstLine="567"/>
        <w:jc w:val="both"/>
        <w:rPr>
          <w:rStyle w:val="2"/>
          <w:sz w:val="28"/>
          <w:szCs w:val="28"/>
        </w:rPr>
      </w:pPr>
      <w:r>
        <w:rPr>
          <w:rStyle w:val="2"/>
          <w:sz w:val="28"/>
          <w:szCs w:val="28"/>
        </w:rPr>
        <w:t xml:space="preserve">Ефективним механізмом, що дозволяє досягнути зазначеної цілі, є запровадження конкурентних умов підтримки виробництва електричної енергії з ВДЕ – системи аукціонів з розподілу квот підтримки. Така система підтримки дозволяє враховувати динаміку зниження вартості обладнання, підвищення його ефективності та щоразу визначати актуальну ринкову ціну на електричну енергію, вироблену з ВДЕ. Успішна практика проведення аукціонів в інших країнах свідчить, що вироблена ВЕС і СЕС електрична енергія за ціною вже успішно конкурує із традиційною тепловою генерацією. </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Тому, з метою забезпечення продовження розвитку галузі ВДЕ, Верховною Радою України 25.04.2019 було прийнято Закон України </w:t>
      </w:r>
      <w:r>
        <w:rPr>
          <w:rFonts w:ascii="Times New Roman" w:hAnsi="Times New Roman"/>
          <w:sz w:val="28"/>
          <w:szCs w:val="28"/>
          <w:lang w:eastAsia="ru-RU"/>
        </w:rPr>
        <w:t>«</w:t>
      </w:r>
      <w:r>
        <w:rPr>
          <w:rFonts w:ascii="Times New Roman" w:hAnsi="Times New Roman"/>
          <w:sz w:val="28"/>
          <w:szCs w:val="28"/>
        </w:rPr>
        <w:t>Про внесення змін до деяких законів України щодо забезпечення конкурентних умов виробництва електричної енергії з альтернативних джерел енергії</w:t>
      </w:r>
      <w:r>
        <w:rPr>
          <w:rFonts w:ascii="Times New Roman" w:hAnsi="Times New Roman"/>
          <w:sz w:val="28"/>
          <w:szCs w:val="28"/>
          <w:lang w:eastAsia="ru-RU"/>
        </w:rPr>
        <w:t>»</w:t>
      </w:r>
      <w:r>
        <w:rPr>
          <w:rFonts w:ascii="Times New Roman" w:hAnsi="Times New Roman"/>
          <w:sz w:val="28"/>
          <w:szCs w:val="28"/>
        </w:rPr>
        <w:t xml:space="preserve"> № 2712-VIII (далі – Закон №</w:t>
      </w:r>
      <w:r>
        <w:rPr>
          <w:rFonts w:ascii="Times New Roman" w:hAnsi="Times New Roman"/>
          <w:sz w:val="28"/>
          <w:szCs w:val="28"/>
          <w:lang w:val="ru-RU"/>
        </w:rPr>
        <w:t> </w:t>
      </w:r>
      <w:r>
        <w:rPr>
          <w:rFonts w:ascii="Times New Roman" w:hAnsi="Times New Roman"/>
          <w:sz w:val="28"/>
          <w:szCs w:val="28"/>
        </w:rPr>
        <w:t>2712-VIII), який набрав чинності 22.05.2019. Законом № 2712-VIII, внесено ряд змін до законів України «Про альтернативні джерела енергії», «Про ринок електричної енергії», «Про Національну комісію, що здійснює державне регулювання у сферах енергетики та комунальних послуг» які, серед іншого, передбачають перехід від системи підтримки за «зеленим» тарифом до конкурентної моделі стимулювання розвитку відновлювальної енергетики шляхом проведення аукціонів з розподілу підтримки («зелених» аукціонів).</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Законом № 2712-VIII передбачається з 2020 року обов'язкова участь у «зелених» аукціонах виробників електричної енергії з альтернативних джерел енергії великої потужності (більше 1 МВт для СЕС і більше 5 МВт для ВЕС, крім об’єктів з трьома вітровими турбінами). Для виробників, що використовують електроустановки меншої потужності та споживачів зберігається можливість отримання «зеленого» тарифу.</w:t>
      </w:r>
    </w:p>
    <w:p w:rsidR="006B4DE4" w:rsidRDefault="006B4DE4" w:rsidP="000116D0">
      <w:pPr>
        <w:spacing w:after="0" w:line="240" w:lineRule="auto"/>
        <w:ind w:firstLine="567"/>
        <w:jc w:val="both"/>
        <w:rPr>
          <w:rStyle w:val="2"/>
          <w:sz w:val="28"/>
          <w:szCs w:val="28"/>
        </w:rPr>
      </w:pPr>
      <w:r>
        <w:rPr>
          <w:rFonts w:ascii="Times New Roman" w:hAnsi="Times New Roman"/>
          <w:sz w:val="28"/>
          <w:szCs w:val="28"/>
        </w:rPr>
        <w:lastRenderedPageBreak/>
        <w:t>На виконання Закону № 2712-VIII Урядом України</w:t>
      </w:r>
      <w:r>
        <w:rPr>
          <w:rStyle w:val="2"/>
          <w:sz w:val="28"/>
          <w:szCs w:val="28"/>
        </w:rPr>
        <w:t xml:space="preserve"> розроблено увесь пакет необхідного вторинного законодавства, що забезпечує імплементацію аукціонів з розподілу квот підтримки. Наразі здійснюється процес технічної підготовки до проведення аукціонів в координації із замовником аукціонів та адміністратором електронної торгової системи.</w:t>
      </w:r>
    </w:p>
    <w:p w:rsidR="00DF7C1A"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Разом з тим, Законом № 2712-VIII було передбачено можливість отримання «зеленого» тарифу для виробників, які уклали з гарантованим покупцем договори купівлі-продажу електричної енергії за «зеленим» тарифом до 31 грудня 2019 року та ввели об’єкти в експлуатацію протягом двох років з дати укладення зазначених договорів - для СЕС (до кінця 2021 року), та протягом трьох років з дати укладення зазначених договорів - для ВЕС (до кінця 2022 року). Цей перехідний період є стримуючим фактором, який не дозволяє визначити обсяги і параметри квот підтримки та запровадити аукціони. </w:t>
      </w:r>
    </w:p>
    <w:p w:rsidR="006B4DE4" w:rsidRDefault="006B4DE4" w:rsidP="000116D0">
      <w:pPr>
        <w:spacing w:after="0" w:line="240" w:lineRule="auto"/>
        <w:ind w:firstLine="567"/>
        <w:jc w:val="both"/>
        <w:rPr>
          <w:rStyle w:val="2"/>
          <w:color w:val="auto"/>
          <w:sz w:val="28"/>
          <w:szCs w:val="28"/>
          <w:lang w:eastAsia="en-US"/>
        </w:rPr>
      </w:pPr>
      <w:r>
        <w:rPr>
          <w:rFonts w:ascii="Times New Roman" w:hAnsi="Times New Roman"/>
          <w:sz w:val="28"/>
          <w:szCs w:val="28"/>
        </w:rPr>
        <w:t>При цьому</w:t>
      </w:r>
      <w:r w:rsidR="000116D0">
        <w:rPr>
          <w:rFonts w:ascii="Times New Roman" w:hAnsi="Times New Roman"/>
          <w:sz w:val="28"/>
          <w:szCs w:val="28"/>
        </w:rPr>
        <w:t xml:space="preserve"> варто зауважити</w:t>
      </w:r>
      <w:r>
        <w:rPr>
          <w:rFonts w:ascii="Times New Roman" w:hAnsi="Times New Roman"/>
          <w:sz w:val="28"/>
          <w:szCs w:val="28"/>
        </w:rPr>
        <w:t>,</w:t>
      </w:r>
      <w:r w:rsidR="000116D0">
        <w:rPr>
          <w:rFonts w:ascii="Times New Roman" w:hAnsi="Times New Roman"/>
          <w:sz w:val="28"/>
          <w:szCs w:val="28"/>
        </w:rPr>
        <w:t xml:space="preserve"> що</w:t>
      </w:r>
      <w:r>
        <w:rPr>
          <w:rFonts w:ascii="Times New Roman" w:hAnsi="Times New Roman"/>
          <w:sz w:val="28"/>
          <w:szCs w:val="28"/>
        </w:rPr>
        <w:t xml:space="preserve"> Національний план дій з відновлюваної енергетики на період до 2020 року, затверджений розпорядженням Кабінету Міністрів України від 01.10.2014 № 902-р, перевиконаний в частині розвитку СЕС на 150%, та недовиконаний в частині розвитку ВЕС на 50%.</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Також, в процесі підготовки до запуску </w:t>
      </w:r>
      <w:r>
        <w:rPr>
          <w:rFonts w:ascii="Times New Roman" w:hAnsi="Times New Roman"/>
          <w:sz w:val="28"/>
          <w:szCs w:val="28"/>
        </w:rPr>
        <w:t>«</w:t>
      </w:r>
      <w:r>
        <w:rPr>
          <w:rFonts w:ascii="Times New Roman" w:hAnsi="Times New Roman"/>
          <w:sz w:val="28"/>
          <w:szCs w:val="28"/>
          <w:lang w:eastAsia="ru-RU"/>
        </w:rPr>
        <w:t>зелених</w:t>
      </w:r>
      <w:r>
        <w:rPr>
          <w:rFonts w:ascii="Times New Roman" w:hAnsi="Times New Roman"/>
          <w:sz w:val="28"/>
          <w:szCs w:val="28"/>
        </w:rPr>
        <w:t>»</w:t>
      </w:r>
      <w:r>
        <w:rPr>
          <w:rFonts w:ascii="Times New Roman" w:hAnsi="Times New Roman"/>
          <w:sz w:val="28"/>
          <w:szCs w:val="28"/>
          <w:lang w:eastAsia="ru-RU"/>
        </w:rPr>
        <w:t xml:space="preserve"> аукціонів було виявлено ряд положень у законах України </w:t>
      </w:r>
      <w:r>
        <w:rPr>
          <w:rFonts w:ascii="Times New Roman" w:hAnsi="Times New Roman"/>
          <w:sz w:val="28"/>
          <w:szCs w:val="28"/>
        </w:rPr>
        <w:t>«</w:t>
      </w:r>
      <w:r>
        <w:rPr>
          <w:rFonts w:ascii="Times New Roman" w:hAnsi="Times New Roman"/>
          <w:sz w:val="28"/>
          <w:szCs w:val="28"/>
          <w:lang w:eastAsia="ru-RU"/>
        </w:rPr>
        <w:t>Про ринок електричної енергії</w:t>
      </w:r>
      <w:r>
        <w:rPr>
          <w:rFonts w:ascii="Times New Roman" w:hAnsi="Times New Roman"/>
          <w:sz w:val="28"/>
          <w:szCs w:val="28"/>
        </w:rPr>
        <w:t>»</w:t>
      </w:r>
      <w:r>
        <w:rPr>
          <w:rFonts w:ascii="Times New Roman" w:hAnsi="Times New Roman"/>
          <w:sz w:val="28"/>
          <w:szCs w:val="28"/>
          <w:lang w:eastAsia="ru-RU"/>
        </w:rPr>
        <w:t xml:space="preserve">, </w:t>
      </w:r>
      <w:r>
        <w:rPr>
          <w:rFonts w:ascii="Times New Roman" w:hAnsi="Times New Roman"/>
          <w:sz w:val="28"/>
          <w:szCs w:val="28"/>
        </w:rPr>
        <w:t>«</w:t>
      </w:r>
      <w:r>
        <w:rPr>
          <w:rFonts w:ascii="Times New Roman" w:hAnsi="Times New Roman"/>
          <w:sz w:val="28"/>
          <w:szCs w:val="28"/>
          <w:lang w:eastAsia="ru-RU"/>
        </w:rPr>
        <w:t>Про альтернативні джерела енергії</w:t>
      </w:r>
      <w:r>
        <w:rPr>
          <w:rFonts w:ascii="Times New Roman" w:hAnsi="Times New Roman"/>
          <w:sz w:val="28"/>
          <w:szCs w:val="28"/>
        </w:rPr>
        <w:t>»</w:t>
      </w:r>
      <w:r>
        <w:rPr>
          <w:rFonts w:ascii="Times New Roman" w:hAnsi="Times New Roman"/>
          <w:sz w:val="28"/>
          <w:szCs w:val="28"/>
          <w:lang w:eastAsia="ru-RU"/>
        </w:rPr>
        <w:t xml:space="preserve">, які потребують перегляду. </w:t>
      </w: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Таким чином, виникла необхідність удосконалення умов підтримки виробництва електричної енергії з альтернативних джерел енергії, що повинні </w:t>
      </w:r>
      <w:bookmarkStart w:id="6" w:name="_Hlk36047008"/>
      <w:r>
        <w:rPr>
          <w:rFonts w:ascii="Times New Roman" w:hAnsi="Times New Roman"/>
          <w:sz w:val="28"/>
          <w:szCs w:val="28"/>
        </w:rPr>
        <w:t>забезпечити сталий розвиток відновлюваної енергетики в економічно ефективний спосіб з урахуванням балансу інтересів держави, виробників електричної енергії з альтернативних джерел енергії, споживачів електричної енергії та інших учасників ринку</w:t>
      </w:r>
      <w:bookmarkEnd w:id="6"/>
      <w:r>
        <w:rPr>
          <w:rFonts w:ascii="Times New Roman" w:hAnsi="Times New Roman"/>
          <w:sz w:val="28"/>
          <w:szCs w:val="28"/>
        </w:rPr>
        <w:t xml:space="preserve">. </w:t>
      </w:r>
    </w:p>
    <w:p w:rsidR="006B4DE4" w:rsidRDefault="006B4DE4" w:rsidP="000116D0">
      <w:pPr>
        <w:spacing w:after="0" w:line="240" w:lineRule="auto"/>
        <w:ind w:firstLine="567"/>
        <w:jc w:val="both"/>
        <w:rPr>
          <w:rFonts w:ascii="Times New Roman" w:hAnsi="Times New Roman"/>
          <w:sz w:val="28"/>
          <w:szCs w:val="28"/>
        </w:rPr>
      </w:pPr>
    </w:p>
    <w:p w:rsidR="006B4DE4" w:rsidRDefault="006B4DE4" w:rsidP="000116D0">
      <w:pPr>
        <w:pStyle w:val="af4"/>
        <w:spacing w:before="0" w:beforeAutospacing="0" w:after="0" w:afterAutospacing="0"/>
        <w:ind w:firstLine="567"/>
        <w:jc w:val="both"/>
        <w:rPr>
          <w:b/>
          <w:sz w:val="28"/>
          <w:szCs w:val="28"/>
          <w:lang w:val="uk-UA"/>
        </w:rPr>
      </w:pPr>
      <w:bookmarkStart w:id="7" w:name="o941"/>
      <w:bookmarkStart w:id="8" w:name="o942"/>
      <w:bookmarkEnd w:id="7"/>
      <w:bookmarkEnd w:id="8"/>
      <w:r>
        <w:rPr>
          <w:b/>
          <w:sz w:val="28"/>
          <w:szCs w:val="28"/>
          <w:lang w:val="uk-UA"/>
        </w:rPr>
        <w:t xml:space="preserve">3. Суть проекту акта </w:t>
      </w:r>
    </w:p>
    <w:p w:rsidR="006B4DE4" w:rsidRDefault="006B4DE4" w:rsidP="000116D0">
      <w:pPr>
        <w:spacing w:after="0" w:line="240" w:lineRule="auto"/>
        <w:ind w:firstLine="567"/>
        <w:jc w:val="both"/>
        <w:rPr>
          <w:rFonts w:ascii="Times New Roman" w:hAnsi="Times New Roman"/>
          <w:b/>
          <w:sz w:val="28"/>
          <w:lang w:eastAsia="ru-RU"/>
        </w:rPr>
      </w:pPr>
    </w:p>
    <w:p w:rsidR="006B4DE4" w:rsidRDefault="006B4DE4" w:rsidP="000116D0">
      <w:pPr>
        <w:spacing w:after="0" w:line="240" w:lineRule="auto"/>
        <w:ind w:firstLine="567"/>
        <w:jc w:val="both"/>
        <w:rPr>
          <w:rFonts w:ascii="Times New Roman" w:hAnsi="Times New Roman"/>
          <w:sz w:val="28"/>
          <w:szCs w:val="28"/>
        </w:rPr>
      </w:pPr>
      <w:r>
        <w:rPr>
          <w:rFonts w:ascii="Times New Roman" w:hAnsi="Times New Roman"/>
          <w:sz w:val="28"/>
          <w:szCs w:val="28"/>
        </w:rPr>
        <w:t>Проєкт акта розроблено з метою прискорення переходу до нової, конкурентної моделі підт</w:t>
      </w:r>
      <w:r w:rsidR="000116D0">
        <w:rPr>
          <w:rFonts w:ascii="Times New Roman" w:hAnsi="Times New Roman"/>
          <w:sz w:val="28"/>
          <w:szCs w:val="28"/>
        </w:rPr>
        <w:t>римки відновлюваної енергетики,</w:t>
      </w:r>
      <w:r>
        <w:rPr>
          <w:rFonts w:ascii="Times New Roman" w:hAnsi="Times New Roman"/>
          <w:sz w:val="28"/>
          <w:szCs w:val="28"/>
        </w:rPr>
        <w:t xml:space="preserve"> шляхом проведення аукціонів з розподілу квоти підтримки</w:t>
      </w:r>
      <w:r w:rsidR="000116D0">
        <w:rPr>
          <w:rFonts w:ascii="Times New Roman" w:hAnsi="Times New Roman"/>
          <w:sz w:val="28"/>
          <w:szCs w:val="28"/>
        </w:rPr>
        <w:t>, збалансування кошторису ДП</w:t>
      </w:r>
      <w:r w:rsidR="000116D0">
        <w:rPr>
          <w:rFonts w:ascii="Times New Roman" w:hAnsi="Times New Roman"/>
          <w:sz w:val="28"/>
          <w:szCs w:val="28"/>
          <w:lang w:val="ru-RU"/>
        </w:rPr>
        <w:t> </w:t>
      </w:r>
      <w:r w:rsidR="000116D0">
        <w:rPr>
          <w:rFonts w:ascii="Times New Roman" w:hAnsi="Times New Roman"/>
          <w:sz w:val="28"/>
          <w:szCs w:val="28"/>
        </w:rPr>
        <w:t>«Гарантований покупець» та з метою вирішення нагальних викликів галузі</w:t>
      </w:r>
      <w:r>
        <w:rPr>
          <w:rFonts w:ascii="Times New Roman" w:hAnsi="Times New Roman"/>
          <w:sz w:val="28"/>
          <w:szCs w:val="28"/>
        </w:rPr>
        <w:t>.</w:t>
      </w:r>
    </w:p>
    <w:p w:rsidR="006B4DE4" w:rsidRDefault="006B4DE4" w:rsidP="000116D0">
      <w:pPr>
        <w:spacing w:after="120" w:line="240" w:lineRule="auto"/>
        <w:ind w:firstLine="567"/>
        <w:jc w:val="both"/>
        <w:rPr>
          <w:rFonts w:ascii="Times New Roman" w:hAnsi="Times New Roman"/>
          <w:sz w:val="28"/>
          <w:szCs w:val="28"/>
          <w:lang w:eastAsia="ru-RU"/>
        </w:rPr>
      </w:pPr>
      <w:r>
        <w:rPr>
          <w:rFonts w:ascii="Times New Roman" w:hAnsi="Times New Roman"/>
          <w:sz w:val="28"/>
          <w:szCs w:val="28"/>
        </w:rPr>
        <w:t>Проєкт</w:t>
      </w:r>
      <w:r>
        <w:rPr>
          <w:rFonts w:ascii="Times New Roman" w:hAnsi="Times New Roman"/>
          <w:sz w:val="28"/>
          <w:szCs w:val="28"/>
          <w:lang w:val="ru-RU"/>
        </w:rPr>
        <w:t>ом</w:t>
      </w:r>
      <w:r>
        <w:rPr>
          <w:rFonts w:ascii="Times New Roman" w:hAnsi="Times New Roman"/>
          <w:sz w:val="28"/>
          <w:szCs w:val="28"/>
        </w:rPr>
        <w:t xml:space="preserve"> акта вносяться зміни</w:t>
      </w:r>
      <w:r>
        <w:rPr>
          <w:rFonts w:ascii="Times New Roman" w:hAnsi="Times New Roman"/>
          <w:sz w:val="28"/>
          <w:szCs w:val="28"/>
          <w:lang w:eastAsia="ru-RU"/>
        </w:rPr>
        <w:t xml:space="preserve"> до законів України «Про альтернативні джерела енергії», «Про ринок електричної енергії», «Про режим іноземного інвестування», «Про оренду державного та комунального майна», в частині удосконалення умов підтримки виробників за «зеленим» тарифом, якими пропонується наступне:</w:t>
      </w:r>
    </w:p>
    <w:p w:rsidR="006B4DE4" w:rsidRDefault="007E4E0D"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з</w:t>
      </w:r>
      <w:r w:rsidR="006B4DE4">
        <w:rPr>
          <w:rFonts w:ascii="Times New Roman" w:hAnsi="Times New Roman"/>
          <w:sz w:val="28"/>
          <w:szCs w:val="28"/>
          <w:lang w:eastAsia="ru-RU"/>
        </w:rPr>
        <w:t>меншення розмірів «зелених» тарифів з 01.07.2020 для об’єктів введених в експлуатацію</w:t>
      </w:r>
      <w:r w:rsidR="0063438C">
        <w:rPr>
          <w:rFonts w:ascii="Times New Roman" w:hAnsi="Times New Roman"/>
          <w:sz w:val="28"/>
          <w:szCs w:val="28"/>
          <w:lang w:eastAsia="ru-RU"/>
        </w:rPr>
        <w:t xml:space="preserve"> з 01.07.2015</w:t>
      </w:r>
      <w:r w:rsidR="006B4DE4">
        <w:rPr>
          <w:rFonts w:ascii="Times New Roman" w:hAnsi="Times New Roman"/>
          <w:sz w:val="28"/>
          <w:szCs w:val="28"/>
          <w:lang w:eastAsia="ru-RU"/>
        </w:rPr>
        <w:t xml:space="preserve"> до </w:t>
      </w:r>
      <w:r w:rsidR="0063438C">
        <w:rPr>
          <w:rFonts w:ascii="Times New Roman" w:hAnsi="Times New Roman"/>
          <w:sz w:val="28"/>
          <w:szCs w:val="28"/>
          <w:lang w:eastAsia="ru-RU"/>
        </w:rPr>
        <w:t>3</w:t>
      </w:r>
      <w:r w:rsidR="006B4DE4">
        <w:rPr>
          <w:rFonts w:ascii="Times New Roman" w:hAnsi="Times New Roman"/>
          <w:sz w:val="28"/>
          <w:szCs w:val="28"/>
          <w:lang w:eastAsia="ru-RU"/>
        </w:rPr>
        <w:t>1.</w:t>
      </w:r>
      <w:r w:rsidR="0063438C">
        <w:rPr>
          <w:rFonts w:ascii="Times New Roman" w:hAnsi="Times New Roman"/>
          <w:sz w:val="28"/>
          <w:szCs w:val="28"/>
          <w:lang w:eastAsia="ru-RU"/>
        </w:rPr>
        <w:t>12</w:t>
      </w:r>
      <w:r w:rsidR="006B4DE4">
        <w:rPr>
          <w:rFonts w:ascii="Times New Roman" w:hAnsi="Times New Roman"/>
          <w:sz w:val="28"/>
          <w:szCs w:val="28"/>
          <w:lang w:eastAsia="ru-RU"/>
        </w:rPr>
        <w:t>.20</w:t>
      </w:r>
      <w:r w:rsidR="007917FC">
        <w:rPr>
          <w:rFonts w:ascii="Times New Roman" w:hAnsi="Times New Roman"/>
          <w:sz w:val="28"/>
          <w:szCs w:val="28"/>
          <w:lang w:eastAsia="ru-RU"/>
        </w:rPr>
        <w:t>19</w:t>
      </w:r>
      <w:r w:rsidR="006B4DE4">
        <w:rPr>
          <w:rFonts w:ascii="Times New Roman" w:hAnsi="Times New Roman"/>
          <w:sz w:val="28"/>
          <w:szCs w:val="28"/>
          <w:lang w:eastAsia="ru-RU"/>
        </w:rPr>
        <w:t xml:space="preserve"> </w:t>
      </w:r>
      <w:r w:rsidR="0063438C">
        <w:rPr>
          <w:rFonts w:ascii="Times New Roman" w:hAnsi="Times New Roman"/>
          <w:sz w:val="28"/>
          <w:szCs w:val="28"/>
          <w:lang w:eastAsia="ru-RU"/>
        </w:rPr>
        <w:t>для</w:t>
      </w:r>
      <w:r w:rsidR="006B4DE4">
        <w:rPr>
          <w:rFonts w:ascii="Times New Roman" w:hAnsi="Times New Roman"/>
          <w:sz w:val="28"/>
          <w:szCs w:val="28"/>
          <w:lang w:eastAsia="ru-RU"/>
        </w:rPr>
        <w:t xml:space="preserve"> СЕС</w:t>
      </w:r>
      <w:r w:rsidR="007917FC">
        <w:rPr>
          <w:rFonts w:ascii="Times New Roman" w:hAnsi="Times New Roman"/>
          <w:sz w:val="28"/>
          <w:szCs w:val="28"/>
          <w:lang w:eastAsia="ru-RU"/>
        </w:rPr>
        <w:t xml:space="preserve"> більше 1 МВт</w:t>
      </w:r>
      <w:r w:rsidR="006B4DE4">
        <w:rPr>
          <w:rFonts w:ascii="Times New Roman" w:hAnsi="Times New Roman"/>
          <w:sz w:val="28"/>
          <w:szCs w:val="28"/>
          <w:lang w:eastAsia="ru-RU"/>
        </w:rPr>
        <w:t xml:space="preserve"> на </w:t>
      </w:r>
      <w:r w:rsidR="006B4DE4">
        <w:rPr>
          <w:rFonts w:ascii="Times New Roman" w:hAnsi="Times New Roman"/>
          <w:sz w:val="28"/>
          <w:szCs w:val="28"/>
          <w:lang w:val="ru-RU" w:eastAsia="ru-RU"/>
        </w:rPr>
        <w:t>15</w:t>
      </w:r>
      <w:r w:rsidR="006B4DE4">
        <w:rPr>
          <w:rFonts w:ascii="Times New Roman" w:hAnsi="Times New Roman"/>
          <w:sz w:val="28"/>
          <w:szCs w:val="28"/>
          <w:lang w:eastAsia="ru-RU"/>
        </w:rPr>
        <w:t>%</w:t>
      </w:r>
      <w:r w:rsidR="007917FC">
        <w:rPr>
          <w:rFonts w:ascii="Times New Roman" w:hAnsi="Times New Roman"/>
          <w:sz w:val="28"/>
          <w:szCs w:val="28"/>
          <w:lang w:eastAsia="ru-RU"/>
        </w:rPr>
        <w:t xml:space="preserve">, для СЕС </w:t>
      </w:r>
      <w:r w:rsidR="00E316F6">
        <w:rPr>
          <w:rFonts w:ascii="Times New Roman" w:hAnsi="Times New Roman"/>
          <w:sz w:val="28"/>
          <w:szCs w:val="28"/>
          <w:lang w:eastAsia="ru-RU"/>
        </w:rPr>
        <w:t>менше</w:t>
      </w:r>
      <w:r w:rsidR="007917FC">
        <w:rPr>
          <w:rFonts w:ascii="Times New Roman" w:hAnsi="Times New Roman"/>
          <w:sz w:val="28"/>
          <w:szCs w:val="28"/>
          <w:lang w:eastAsia="ru-RU"/>
        </w:rPr>
        <w:t xml:space="preserve"> 1 МВт на </w:t>
      </w:r>
      <w:r w:rsidR="007917FC">
        <w:rPr>
          <w:rFonts w:ascii="Times New Roman" w:hAnsi="Times New Roman"/>
          <w:sz w:val="28"/>
          <w:szCs w:val="28"/>
          <w:lang w:val="ru-RU" w:eastAsia="ru-RU"/>
        </w:rPr>
        <w:t>10</w:t>
      </w:r>
      <w:r w:rsidR="007917FC">
        <w:rPr>
          <w:rFonts w:ascii="Times New Roman" w:hAnsi="Times New Roman"/>
          <w:sz w:val="28"/>
          <w:szCs w:val="28"/>
          <w:lang w:eastAsia="ru-RU"/>
        </w:rPr>
        <w:t>%</w:t>
      </w:r>
      <w:r w:rsidR="006B4DE4">
        <w:rPr>
          <w:rFonts w:ascii="Times New Roman" w:hAnsi="Times New Roman"/>
          <w:sz w:val="28"/>
          <w:szCs w:val="28"/>
          <w:lang w:eastAsia="ru-RU"/>
        </w:rPr>
        <w:t xml:space="preserve"> </w:t>
      </w:r>
      <w:r w:rsidR="007917FC">
        <w:rPr>
          <w:rFonts w:ascii="Times New Roman" w:hAnsi="Times New Roman"/>
          <w:sz w:val="28"/>
          <w:szCs w:val="28"/>
          <w:lang w:eastAsia="ru-RU"/>
        </w:rPr>
        <w:t xml:space="preserve">та </w:t>
      </w:r>
      <w:r w:rsidR="006B4DE4">
        <w:rPr>
          <w:rFonts w:ascii="Times New Roman" w:hAnsi="Times New Roman"/>
          <w:sz w:val="28"/>
          <w:szCs w:val="28"/>
          <w:lang w:eastAsia="ru-RU"/>
        </w:rPr>
        <w:t xml:space="preserve">для ВЕС на </w:t>
      </w:r>
      <w:r w:rsidR="006B4DE4">
        <w:rPr>
          <w:rFonts w:ascii="Times New Roman" w:hAnsi="Times New Roman"/>
          <w:sz w:val="28"/>
          <w:szCs w:val="28"/>
          <w:lang w:val="ru-RU" w:eastAsia="ru-RU"/>
        </w:rPr>
        <w:t>7,5</w:t>
      </w:r>
      <w:r w:rsidR="006B4DE4">
        <w:rPr>
          <w:rFonts w:ascii="Times New Roman" w:hAnsi="Times New Roman"/>
          <w:sz w:val="28"/>
          <w:szCs w:val="28"/>
          <w:lang w:eastAsia="ru-RU"/>
        </w:rPr>
        <w:t>%;</w:t>
      </w:r>
    </w:p>
    <w:p w:rsidR="007917FC" w:rsidRDefault="007917FC"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lastRenderedPageBreak/>
        <w:t>зменшення розмірів «зелених» тарифів з 01.07.2020 для СЕС і ВЕС, введених в експлуатацію з 01.01.2020 на 2,5%;</w:t>
      </w:r>
    </w:p>
    <w:p w:rsidR="006B4DE4" w:rsidRDefault="007E4E0D"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в</w:t>
      </w:r>
      <w:r w:rsidR="006B4DE4">
        <w:rPr>
          <w:rFonts w:ascii="Times New Roman" w:hAnsi="Times New Roman"/>
          <w:sz w:val="28"/>
          <w:szCs w:val="28"/>
          <w:lang w:eastAsia="ru-RU"/>
        </w:rPr>
        <w:t>становлення граничного розміру «зеленого» тарифу для об</w:t>
      </w:r>
      <w:r w:rsidR="006B4DE4">
        <w:rPr>
          <w:rFonts w:ascii="Times New Roman" w:hAnsi="Times New Roman"/>
          <w:sz w:val="28"/>
          <w:szCs w:val="28"/>
          <w:lang w:val="ru-RU" w:eastAsia="ru-RU"/>
        </w:rPr>
        <w:t>’</w:t>
      </w:r>
      <w:r w:rsidR="006B4DE4">
        <w:rPr>
          <w:rFonts w:ascii="Times New Roman" w:hAnsi="Times New Roman"/>
          <w:sz w:val="28"/>
          <w:szCs w:val="28"/>
          <w:lang w:eastAsia="ru-RU"/>
        </w:rPr>
        <w:t xml:space="preserve">єктів відновлюваної енергетики, що введені в експлуатацію до </w:t>
      </w:r>
      <w:r w:rsidR="0063438C">
        <w:rPr>
          <w:rFonts w:ascii="Times New Roman" w:hAnsi="Times New Roman"/>
          <w:sz w:val="28"/>
          <w:szCs w:val="28"/>
          <w:lang w:eastAsia="ru-RU"/>
        </w:rPr>
        <w:t>30</w:t>
      </w:r>
      <w:r w:rsidR="006B4DE4">
        <w:rPr>
          <w:rFonts w:ascii="Times New Roman" w:hAnsi="Times New Roman"/>
          <w:sz w:val="28"/>
          <w:szCs w:val="28"/>
          <w:lang w:eastAsia="ru-RU"/>
        </w:rPr>
        <w:t>.0</w:t>
      </w:r>
      <w:r w:rsidR="0063438C">
        <w:rPr>
          <w:rFonts w:ascii="Times New Roman" w:hAnsi="Times New Roman"/>
          <w:sz w:val="28"/>
          <w:szCs w:val="28"/>
          <w:lang w:eastAsia="ru-RU"/>
        </w:rPr>
        <w:t>6</w:t>
      </w:r>
      <w:r w:rsidR="006B4DE4">
        <w:rPr>
          <w:rFonts w:ascii="Times New Roman" w:hAnsi="Times New Roman"/>
          <w:sz w:val="28"/>
          <w:szCs w:val="28"/>
          <w:lang w:eastAsia="ru-RU"/>
        </w:rPr>
        <w:t>.2015, що дозволить зменшити розмір «зелених» тарифів для таких об</w:t>
      </w:r>
      <w:r w:rsidR="006B4DE4">
        <w:rPr>
          <w:rFonts w:ascii="Times New Roman" w:hAnsi="Times New Roman"/>
          <w:sz w:val="28"/>
          <w:szCs w:val="28"/>
          <w:lang w:val="ru-RU" w:eastAsia="ru-RU"/>
        </w:rPr>
        <w:t>’</w:t>
      </w:r>
      <w:r w:rsidR="006B4DE4">
        <w:rPr>
          <w:rFonts w:ascii="Times New Roman" w:hAnsi="Times New Roman"/>
          <w:sz w:val="28"/>
          <w:szCs w:val="28"/>
          <w:lang w:eastAsia="ru-RU"/>
        </w:rPr>
        <w:t>єктів до 5</w:t>
      </w:r>
      <w:r w:rsidR="006B4DE4">
        <w:rPr>
          <w:rFonts w:ascii="Times New Roman" w:hAnsi="Times New Roman"/>
          <w:sz w:val="28"/>
          <w:szCs w:val="28"/>
          <w:lang w:val="ru-RU" w:eastAsia="ru-RU"/>
        </w:rPr>
        <w:t>2</w:t>
      </w:r>
      <w:r w:rsidR="006B4DE4">
        <w:rPr>
          <w:rFonts w:ascii="Times New Roman" w:hAnsi="Times New Roman"/>
          <w:sz w:val="28"/>
          <w:szCs w:val="28"/>
          <w:lang w:eastAsia="ru-RU"/>
        </w:rPr>
        <w:t>%;</w:t>
      </w:r>
    </w:p>
    <w:p w:rsidR="006B4DE4" w:rsidRDefault="006B4DE4"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обмеження строків введення в експлуатацію нових СЕС для отримання «зеленого» тарифу, шляхом зменшення з 01.0</w:t>
      </w:r>
      <w:r w:rsidR="0063438C">
        <w:rPr>
          <w:rFonts w:ascii="Times New Roman" w:hAnsi="Times New Roman"/>
          <w:sz w:val="28"/>
          <w:szCs w:val="28"/>
          <w:lang w:eastAsia="ru-RU"/>
        </w:rPr>
        <w:t>8</w:t>
      </w:r>
      <w:r>
        <w:rPr>
          <w:rFonts w:ascii="Times New Roman" w:hAnsi="Times New Roman"/>
          <w:sz w:val="28"/>
          <w:szCs w:val="28"/>
          <w:lang w:eastAsia="ru-RU"/>
        </w:rPr>
        <w:t>.2020 розмірів «зеленого» тарифу для</w:t>
      </w:r>
      <w:r>
        <w:rPr>
          <w:rFonts w:ascii="Times New Roman" w:hAnsi="Times New Roman"/>
          <w:sz w:val="28"/>
          <w:szCs w:val="28"/>
          <w:lang w:val="ru-RU" w:eastAsia="ru-RU"/>
        </w:rPr>
        <w:t xml:space="preserve"> </w:t>
      </w:r>
      <w:r>
        <w:rPr>
          <w:rFonts w:ascii="Times New Roman" w:hAnsi="Times New Roman"/>
          <w:sz w:val="28"/>
          <w:szCs w:val="28"/>
          <w:lang w:eastAsia="ru-RU"/>
        </w:rPr>
        <w:t>таких об</w:t>
      </w:r>
      <w:r>
        <w:rPr>
          <w:rFonts w:ascii="Times New Roman" w:hAnsi="Times New Roman"/>
          <w:sz w:val="28"/>
          <w:szCs w:val="28"/>
          <w:lang w:val="ru-RU" w:eastAsia="ru-RU"/>
        </w:rPr>
        <w:t>’</w:t>
      </w:r>
      <w:r>
        <w:rPr>
          <w:rFonts w:ascii="Times New Roman" w:hAnsi="Times New Roman"/>
          <w:sz w:val="28"/>
          <w:szCs w:val="28"/>
          <w:lang w:eastAsia="ru-RU"/>
        </w:rPr>
        <w:t>єктів на 50%.</w:t>
      </w:r>
    </w:p>
    <w:p w:rsidR="006B4DE4" w:rsidRDefault="006B4DE4"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rPr>
        <w:t xml:space="preserve">запровадження з 2022 року (50% у 2021 році) повної відповідальності за небаланс своїх фактичних та акцептованих (прогнозних) графіків виробництва електроенергії для всіх виробників з ВДЕ, що створить для таких суб’єктів економічні стимули для підвищення точності прогнозування своїх графіків відпуску електричної енергії і сприятиме розвитку сектору балансуючих потужностей. При цьому розмір допустимої похибки прогнозування складатиме </w:t>
      </w:r>
      <w:r>
        <w:rPr>
          <w:rFonts w:ascii="Times New Roman" w:hAnsi="Times New Roman"/>
          <w:sz w:val="28"/>
          <w:szCs w:val="28"/>
          <w:lang w:eastAsia="ru-RU"/>
        </w:rPr>
        <w:t>для ВЕС – 10%, для СЕС – 5%</w:t>
      </w:r>
      <w:r>
        <w:rPr>
          <w:rFonts w:ascii="Times New Roman" w:hAnsi="Times New Roman"/>
          <w:sz w:val="28"/>
          <w:szCs w:val="28"/>
        </w:rPr>
        <w:t>;</w:t>
      </w:r>
    </w:p>
    <w:p w:rsidR="006B4DE4" w:rsidRDefault="006B4DE4"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визначення оператора системи передачі відповідальним за компенсацію недовідпущеної виробниками ВДЕ електричної енергії, внаслідок виконання ними диспетчерських команд на зменшення та/або обмеження навантаження, відповідно до методики, яка затверджується Регулятором;</w:t>
      </w:r>
    </w:p>
    <w:p w:rsidR="006B4DE4" w:rsidRDefault="006B4DE4" w:rsidP="000116D0">
      <w:pPr>
        <w:numPr>
          <w:ilvl w:val="0"/>
          <w:numId w:val="6"/>
        </w:numPr>
        <w:spacing w:after="12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надання державних гарантій стосовно незмінності законодавства, чинного на день прийняття цього Закону, для виробників за «зеленим» тарифом.</w:t>
      </w:r>
    </w:p>
    <w:p w:rsidR="006B4DE4" w:rsidRDefault="006B4DE4" w:rsidP="000116D0">
      <w:pPr>
        <w:pStyle w:val="ad"/>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rPr>
        <w:t>Проєктом Закону</w:t>
      </w:r>
      <w:r>
        <w:rPr>
          <w:rFonts w:ascii="Times New Roman" w:hAnsi="Times New Roman"/>
          <w:sz w:val="28"/>
          <w:szCs w:val="28"/>
          <w:lang w:eastAsia="ru-RU"/>
        </w:rPr>
        <w:t xml:space="preserve"> також передбачається </w:t>
      </w:r>
      <w:r>
        <w:rPr>
          <w:rFonts w:ascii="Times New Roman" w:hAnsi="Times New Roman"/>
          <w:bCs/>
          <w:sz w:val="28"/>
          <w:szCs w:val="28"/>
        </w:rPr>
        <w:t>вдосконалення процедури організації і проведення аукціонів з розподілу квоти підтримки шляхом</w:t>
      </w:r>
      <w:r>
        <w:rPr>
          <w:rFonts w:ascii="Times New Roman" w:hAnsi="Times New Roman"/>
          <w:sz w:val="28"/>
          <w:szCs w:val="28"/>
          <w:lang w:eastAsia="ru-RU"/>
        </w:rPr>
        <w:t xml:space="preserve"> внесення змін до статті 9</w:t>
      </w:r>
      <w:r>
        <w:rPr>
          <w:rFonts w:ascii="Times New Roman" w:hAnsi="Times New Roman"/>
          <w:sz w:val="28"/>
          <w:szCs w:val="28"/>
          <w:vertAlign w:val="superscript"/>
          <w:lang w:eastAsia="ru-RU"/>
        </w:rPr>
        <w:t>3</w:t>
      </w:r>
      <w:r>
        <w:rPr>
          <w:rFonts w:ascii="Times New Roman" w:hAnsi="Times New Roman"/>
          <w:sz w:val="28"/>
          <w:szCs w:val="28"/>
          <w:lang w:eastAsia="ru-RU"/>
        </w:rPr>
        <w:t xml:space="preserve"> Закону України «Про альтернативні джерела енергії». окрема:</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забезпечення можливості участі в аукціонах СЕС, які розміщуються на дахах/фасадах будівель та капітальних споруд;</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запровадження можливості проведення аукціонів на визначених дахах та/або фасадах будівель та інших капітальних споруд, по аналогії з механізмом проведення аукціонів з земельними ділянками, у томи числі споруд державної та комунальної власності;</w:t>
      </w:r>
    </w:p>
    <w:p w:rsidR="006B4DE4" w:rsidRDefault="0063438C"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визначення</w:t>
      </w:r>
      <w:r w:rsidR="006B4DE4">
        <w:rPr>
          <w:rFonts w:ascii="Times New Roman" w:hAnsi="Times New Roman"/>
          <w:sz w:val="28"/>
          <w:szCs w:val="28"/>
          <w:lang w:eastAsia="ru-RU"/>
        </w:rPr>
        <w:t xml:space="preserve"> Кабінету Міністрів України</w:t>
      </w:r>
      <w:r>
        <w:rPr>
          <w:rFonts w:ascii="Times New Roman" w:hAnsi="Times New Roman"/>
          <w:sz w:val="28"/>
          <w:szCs w:val="28"/>
          <w:lang w:eastAsia="ru-RU"/>
        </w:rPr>
        <w:t xml:space="preserve"> відповідальним за встановлення</w:t>
      </w:r>
      <w:r w:rsidR="006B4DE4">
        <w:rPr>
          <w:rFonts w:ascii="Times New Roman" w:hAnsi="Times New Roman"/>
          <w:sz w:val="28"/>
          <w:szCs w:val="28"/>
          <w:lang w:eastAsia="ru-RU"/>
        </w:rPr>
        <w:t xml:space="preserve"> щорічно</w:t>
      </w:r>
      <w:r>
        <w:rPr>
          <w:rFonts w:ascii="Times New Roman" w:hAnsi="Times New Roman"/>
          <w:sz w:val="28"/>
          <w:szCs w:val="28"/>
          <w:lang w:eastAsia="ru-RU"/>
        </w:rPr>
        <w:t>го</w:t>
      </w:r>
      <w:r w:rsidR="006B4DE4">
        <w:rPr>
          <w:rFonts w:ascii="Times New Roman" w:hAnsi="Times New Roman"/>
          <w:sz w:val="28"/>
          <w:szCs w:val="28"/>
          <w:lang w:eastAsia="ru-RU"/>
        </w:rPr>
        <w:t xml:space="preserve"> графік</w:t>
      </w:r>
      <w:r>
        <w:rPr>
          <w:rFonts w:ascii="Times New Roman" w:hAnsi="Times New Roman"/>
          <w:sz w:val="28"/>
          <w:szCs w:val="28"/>
          <w:lang w:eastAsia="ru-RU"/>
        </w:rPr>
        <w:t>у</w:t>
      </w:r>
      <w:r w:rsidR="006B4DE4">
        <w:rPr>
          <w:rFonts w:ascii="Times New Roman" w:hAnsi="Times New Roman"/>
          <w:sz w:val="28"/>
          <w:szCs w:val="28"/>
          <w:lang w:eastAsia="ru-RU"/>
        </w:rPr>
        <w:t xml:space="preserve"> проведення аукціонів;</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чітке визначення максимального розміру цінової пропозиції на аукціоні залежно від виду ВДЕ і року уведення енергооб’єкту в експлуатацію;</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запровадження можливості проведення аукціонів за окремими видами альтернативних джерел енергії та аукціонів для інших (крім СЕС та ВЕС) альтернативних джерел енергії;</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lastRenderedPageBreak/>
        <w:t xml:space="preserve">посилення вимог обов’язкової участі ВЕС в аукціонах, без можливості уведення енергооб’єктів на три вітротурбіни в рамках </w:t>
      </w:r>
      <w:r>
        <w:rPr>
          <w:rFonts w:ascii="Times New Roman" w:hAnsi="Times New Roman"/>
          <w:sz w:val="28"/>
          <w:szCs w:val="28"/>
        </w:rPr>
        <w:t>«</w:t>
      </w:r>
      <w:r>
        <w:rPr>
          <w:rFonts w:ascii="Times New Roman" w:hAnsi="Times New Roman"/>
          <w:sz w:val="28"/>
          <w:szCs w:val="28"/>
          <w:lang w:eastAsia="ru-RU"/>
        </w:rPr>
        <w:t>зеленого</w:t>
      </w:r>
      <w:r>
        <w:rPr>
          <w:rFonts w:ascii="Times New Roman" w:hAnsi="Times New Roman"/>
          <w:sz w:val="28"/>
          <w:szCs w:val="28"/>
        </w:rPr>
        <w:t>»</w:t>
      </w:r>
      <w:r>
        <w:rPr>
          <w:rFonts w:ascii="Times New Roman" w:hAnsi="Times New Roman"/>
          <w:sz w:val="28"/>
          <w:szCs w:val="28"/>
          <w:lang w:eastAsia="ru-RU"/>
        </w:rPr>
        <w:t xml:space="preserve"> тарифу; </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зменшення мінімально обов’язкового розподілу частки квоти по технологіям з 15% до 10%.</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підвищення частки річної квоти підтримки, яку може отримати один кінцевий бенефіціарний власник</w:t>
      </w:r>
      <w:r w:rsidR="000116D0">
        <w:rPr>
          <w:rFonts w:ascii="Times New Roman" w:hAnsi="Times New Roman"/>
          <w:sz w:val="28"/>
          <w:szCs w:val="28"/>
          <w:lang w:eastAsia="ru-RU"/>
        </w:rPr>
        <w:t xml:space="preserve"> (контролер)</w:t>
      </w:r>
      <w:r>
        <w:rPr>
          <w:rFonts w:ascii="Times New Roman" w:hAnsi="Times New Roman"/>
          <w:sz w:val="28"/>
          <w:szCs w:val="28"/>
          <w:lang w:eastAsia="ru-RU"/>
        </w:rPr>
        <w:t xml:space="preserve"> з 25 до 35 відсотків, що відповідає Закону України «Про захист економічної конкуренції»;</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підвищення гнучкості організації аукціонів шляхом надання Кабінету Міністрів України можливості встановлювати максимальну потужність об’єкту – переможця, регіональні квоти залежно від пропускної спроможності мережі;</w:t>
      </w:r>
    </w:p>
    <w:p w:rsidR="006B4DE4" w:rsidRDefault="006B4DE4" w:rsidP="000116D0">
      <w:pPr>
        <w:pStyle w:val="ad"/>
        <w:numPr>
          <w:ilvl w:val="0"/>
          <w:numId w:val="7"/>
        </w:numPr>
        <w:spacing w:after="120" w:line="240" w:lineRule="auto"/>
        <w:ind w:left="0" w:firstLine="567"/>
        <w:contextualSpacing w:val="0"/>
        <w:jc w:val="both"/>
        <w:rPr>
          <w:rFonts w:ascii="Times New Roman" w:hAnsi="Times New Roman"/>
          <w:sz w:val="28"/>
          <w:szCs w:val="28"/>
          <w:lang w:eastAsia="ru-RU"/>
        </w:rPr>
      </w:pPr>
      <w:r>
        <w:rPr>
          <w:rFonts w:ascii="Times New Roman" w:hAnsi="Times New Roman"/>
          <w:sz w:val="28"/>
          <w:szCs w:val="28"/>
          <w:lang w:eastAsia="ru-RU"/>
        </w:rPr>
        <w:t xml:space="preserve">уточнення процедури верифікації завершення будівництва об’єкту: замість початку відпуску електроенергії в мережу – надання акту виконаних робіт з приєднання енергооб’єкту до мережі ОСР/ОСП;  </w:t>
      </w:r>
    </w:p>
    <w:p w:rsidR="006B4DE4" w:rsidRDefault="006B4DE4" w:rsidP="000116D0">
      <w:pPr>
        <w:spacing w:after="120" w:line="240" w:lineRule="auto"/>
        <w:ind w:firstLine="567"/>
        <w:jc w:val="both"/>
        <w:rPr>
          <w:rFonts w:ascii="Times New Roman" w:hAnsi="Times New Roman"/>
          <w:b/>
          <w:sz w:val="28"/>
          <w:lang w:eastAsia="ru-RU"/>
        </w:rPr>
      </w:pPr>
      <w:bookmarkStart w:id="9" w:name="o943"/>
      <w:bookmarkStart w:id="10" w:name="o944"/>
      <w:bookmarkEnd w:id="9"/>
      <w:bookmarkEnd w:id="10"/>
    </w:p>
    <w:p w:rsidR="006B4DE4" w:rsidRDefault="006B4DE4" w:rsidP="000116D0">
      <w:pPr>
        <w:shd w:val="clear" w:color="auto" w:fill="FFFFFF"/>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 xml:space="preserve">4. Вплив на бюджет </w:t>
      </w:r>
    </w:p>
    <w:p w:rsidR="006B4DE4" w:rsidRDefault="006B4DE4" w:rsidP="000116D0">
      <w:pPr>
        <w:spacing w:after="0" w:line="240" w:lineRule="auto"/>
        <w:ind w:firstLine="567"/>
        <w:jc w:val="both"/>
        <w:rPr>
          <w:rFonts w:ascii="Times New Roman" w:hAnsi="Times New Roman"/>
          <w:sz w:val="28"/>
          <w:szCs w:val="28"/>
          <w:lang w:val="ru-RU" w:eastAsia="ru-RU"/>
        </w:rPr>
      </w:pPr>
      <w:r>
        <w:rPr>
          <w:rFonts w:ascii="Times New Roman" w:hAnsi="Times New Roman"/>
          <w:sz w:val="28"/>
          <w:szCs w:val="28"/>
          <w:lang w:eastAsia="ru-RU"/>
        </w:rPr>
        <w:t xml:space="preserve">Реалізація положень </w:t>
      </w:r>
      <w:r>
        <w:rPr>
          <w:rFonts w:ascii="Times New Roman" w:hAnsi="Times New Roman"/>
          <w:sz w:val="28"/>
          <w:szCs w:val="28"/>
          <w:lang w:val="ru-RU" w:eastAsia="ru-RU"/>
        </w:rPr>
        <w:t>про</w:t>
      </w:r>
      <w:r w:rsidR="000116D0">
        <w:rPr>
          <w:rFonts w:ascii="Times New Roman" w:hAnsi="Times New Roman"/>
          <w:sz w:val="28"/>
          <w:szCs w:val="28"/>
          <w:lang w:val="ru-RU" w:eastAsia="ru-RU"/>
        </w:rPr>
        <w:t>є</w:t>
      </w:r>
      <w:r>
        <w:rPr>
          <w:rFonts w:ascii="Times New Roman" w:hAnsi="Times New Roman"/>
          <w:sz w:val="28"/>
          <w:szCs w:val="28"/>
          <w:lang w:val="ru-RU" w:eastAsia="ru-RU"/>
        </w:rPr>
        <w:t>кту акта</w:t>
      </w:r>
      <w:r>
        <w:rPr>
          <w:rFonts w:ascii="Times New Roman" w:hAnsi="Times New Roman"/>
          <w:sz w:val="28"/>
          <w:szCs w:val="28"/>
          <w:lang w:eastAsia="ru-RU"/>
        </w:rPr>
        <w:t xml:space="preserve"> не потребує додаткових витрат з державного</w:t>
      </w:r>
      <w:r>
        <w:rPr>
          <w:rFonts w:ascii="Times New Roman" w:hAnsi="Times New Roman"/>
          <w:sz w:val="28"/>
          <w:szCs w:val="28"/>
          <w:lang w:val="ru-RU" w:eastAsia="ru-RU"/>
        </w:rPr>
        <w:t xml:space="preserve"> та</w:t>
      </w:r>
      <w:r>
        <w:rPr>
          <w:rFonts w:ascii="Times New Roman" w:hAnsi="Times New Roman"/>
          <w:sz w:val="28"/>
          <w:szCs w:val="28"/>
          <w:lang w:eastAsia="ru-RU"/>
        </w:rPr>
        <w:t xml:space="preserve"> місцевих бюджетів.</w:t>
      </w:r>
    </w:p>
    <w:p w:rsidR="006B4DE4" w:rsidRDefault="006B4DE4" w:rsidP="000116D0">
      <w:pPr>
        <w:spacing w:after="0" w:line="240" w:lineRule="auto"/>
        <w:ind w:firstLine="567"/>
        <w:jc w:val="both"/>
        <w:rPr>
          <w:rFonts w:ascii="Times New Roman" w:hAnsi="Times New Roman"/>
          <w:sz w:val="28"/>
          <w:szCs w:val="28"/>
          <w:shd w:val="clear" w:color="auto" w:fill="FFFFFF"/>
          <w:lang w:eastAsia="ru-RU"/>
        </w:rPr>
      </w:pPr>
    </w:p>
    <w:p w:rsidR="006B4DE4" w:rsidRDefault="006B4DE4" w:rsidP="000116D0">
      <w:pPr>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5. Позиція заінтересованих сторін</w:t>
      </w:r>
    </w:p>
    <w:p w:rsidR="006B4DE4" w:rsidRDefault="006B4DE4" w:rsidP="000116D0">
      <w:pPr>
        <w:spacing w:after="0" w:line="240" w:lineRule="auto"/>
        <w:ind w:firstLine="567"/>
        <w:jc w:val="both"/>
        <w:rPr>
          <w:rStyle w:val="2"/>
          <w:sz w:val="28"/>
          <w:szCs w:val="28"/>
        </w:rPr>
      </w:pPr>
      <w:r>
        <w:rPr>
          <w:rStyle w:val="2"/>
          <w:sz w:val="28"/>
          <w:szCs w:val="28"/>
        </w:rPr>
        <w:t>З метою досягнення балансу інтересів держави, виробників електричної енергії з ВДЕ, споживачів та інших учасників ринку, до підготовки пропозицій в рамках створеної при Міністерстві енергетики України робочої групи було залучено широке коло представників заінтересованих органів державної влади і їх установ, інвесторів, профільних асоціацій та фінансових інституцій, експертів і фахівців галузі. Також, до обговорення та пошуку збалансованих рішень було залучено Секретаріат Енергетичного Співтовариства і представництво ЄС в Україні</w:t>
      </w:r>
      <w:r w:rsidR="000116D0">
        <w:rPr>
          <w:rStyle w:val="2"/>
          <w:sz w:val="28"/>
          <w:szCs w:val="28"/>
        </w:rPr>
        <w:t>. Зміни, що передбачаються проєктом акта, закріплені у Меморандумі про взаєморозуміння між органами державної влади України та виробниками з ВДЕ, асоціаціями, що представляють їх інтереси, який був підписаний 1</w:t>
      </w:r>
      <w:r w:rsidR="00A55597">
        <w:rPr>
          <w:rStyle w:val="2"/>
          <w:sz w:val="28"/>
          <w:szCs w:val="28"/>
        </w:rPr>
        <w:t>0</w:t>
      </w:r>
      <w:r w:rsidR="000116D0">
        <w:rPr>
          <w:rStyle w:val="2"/>
          <w:sz w:val="28"/>
          <w:szCs w:val="28"/>
        </w:rPr>
        <w:t>.06.2020.</w:t>
      </w:r>
    </w:p>
    <w:p w:rsidR="006B4DE4" w:rsidRDefault="006B4DE4" w:rsidP="000116D0">
      <w:pPr>
        <w:spacing w:after="0" w:line="240" w:lineRule="auto"/>
        <w:ind w:firstLine="567"/>
        <w:jc w:val="both"/>
        <w:rPr>
          <w:rStyle w:val="2"/>
          <w:sz w:val="28"/>
          <w:szCs w:val="28"/>
        </w:rPr>
      </w:pPr>
      <w:r>
        <w:rPr>
          <w:rStyle w:val="2"/>
          <w:sz w:val="28"/>
          <w:szCs w:val="28"/>
        </w:rPr>
        <w:t xml:space="preserve">Крім того, зважаючи, що значна частина об’єктів відновлюваної енергетики в Україні була побудована інвесторами з використанням кредитних коштів, Урядом проведено роботу з державними та Національним банком України щодо прийнятності пропонованих умов добровільної реструктуризації </w:t>
      </w:r>
      <w:r>
        <w:rPr>
          <w:rFonts w:ascii="Times New Roman" w:hAnsi="Times New Roman"/>
          <w:sz w:val="28"/>
          <w:szCs w:val="28"/>
          <w:lang w:val="ru-RU"/>
        </w:rPr>
        <w:t>«</w:t>
      </w:r>
      <w:r>
        <w:rPr>
          <w:rStyle w:val="2"/>
          <w:sz w:val="28"/>
          <w:szCs w:val="28"/>
        </w:rPr>
        <w:t>зелених</w:t>
      </w:r>
      <w:r>
        <w:rPr>
          <w:rFonts w:ascii="Times New Roman" w:hAnsi="Times New Roman"/>
          <w:sz w:val="28"/>
          <w:szCs w:val="28"/>
          <w:lang w:val="ru-RU"/>
        </w:rPr>
        <w:t>»</w:t>
      </w:r>
      <w:r>
        <w:rPr>
          <w:rStyle w:val="2"/>
          <w:sz w:val="28"/>
          <w:szCs w:val="28"/>
        </w:rPr>
        <w:t xml:space="preserve"> тарифів в рамках кредитних програм, за якими були надані відповідні позики.</w:t>
      </w:r>
    </w:p>
    <w:p w:rsidR="00870266" w:rsidRDefault="00870266" w:rsidP="000116D0">
      <w:pPr>
        <w:shd w:val="clear" w:color="auto" w:fill="FFFFFF"/>
        <w:spacing w:after="0" w:line="240" w:lineRule="auto"/>
        <w:ind w:firstLine="567"/>
        <w:jc w:val="both"/>
        <w:rPr>
          <w:rFonts w:ascii="Times New Roman" w:hAnsi="Times New Roman"/>
          <w:color w:val="000000"/>
          <w:sz w:val="28"/>
          <w:szCs w:val="28"/>
          <w:lang w:eastAsia="ru-RU"/>
        </w:rPr>
      </w:pPr>
      <w:bookmarkStart w:id="11" w:name="n1987"/>
      <w:bookmarkEnd w:id="11"/>
    </w:p>
    <w:p w:rsidR="006B4DE4" w:rsidRDefault="006B4DE4" w:rsidP="000116D0">
      <w:pPr>
        <w:shd w:val="clear" w:color="auto" w:fill="FFFFFF"/>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Проєкт </w:t>
      </w:r>
      <w:r>
        <w:rPr>
          <w:rFonts w:ascii="Times New Roman" w:hAnsi="Times New Roman"/>
          <w:bCs/>
          <w:spacing w:val="-1"/>
          <w:sz w:val="28"/>
          <w:szCs w:val="28"/>
          <w:lang w:eastAsia="ru-RU"/>
        </w:rPr>
        <w:t>акта не</w:t>
      </w:r>
      <w:r>
        <w:rPr>
          <w:rFonts w:ascii="Times New Roman" w:hAnsi="Times New Roman"/>
          <w:color w:val="000000"/>
          <w:sz w:val="28"/>
          <w:szCs w:val="28"/>
          <w:lang w:eastAsia="ru-RU"/>
        </w:rPr>
        <w:t xml:space="preserve"> стосується питань функціонування місцевого самоврядування, прав та інтересів територіальних громад, місцевого та </w:t>
      </w:r>
      <w:r>
        <w:rPr>
          <w:rFonts w:ascii="Times New Roman" w:hAnsi="Times New Roman"/>
          <w:color w:val="000000"/>
          <w:sz w:val="28"/>
          <w:szCs w:val="28"/>
          <w:lang w:eastAsia="ru-RU"/>
        </w:rPr>
        <w:lastRenderedPageBreak/>
        <w:t>регіонального розвитку, соціально-трудової сфери, прав осіб з інвалідністю</w:t>
      </w:r>
      <w:bookmarkStart w:id="12" w:name="n1988"/>
      <w:bookmarkEnd w:id="12"/>
      <w:r>
        <w:rPr>
          <w:rFonts w:ascii="Times New Roman" w:hAnsi="Times New Roman"/>
          <w:color w:val="000000"/>
          <w:sz w:val="28"/>
          <w:szCs w:val="28"/>
          <w:lang w:eastAsia="ru-RU"/>
        </w:rPr>
        <w:t xml:space="preserve"> сфери наукової та науково-технічної діяльності.</w:t>
      </w:r>
    </w:p>
    <w:p w:rsidR="006B4DE4" w:rsidRDefault="006B4DE4" w:rsidP="000116D0">
      <w:pPr>
        <w:spacing w:after="0" w:line="240" w:lineRule="auto"/>
        <w:ind w:firstLine="567"/>
        <w:jc w:val="both"/>
        <w:rPr>
          <w:rFonts w:ascii="Times New Roman" w:hAnsi="Times New Roman"/>
          <w:sz w:val="28"/>
          <w:szCs w:val="28"/>
          <w:lang w:eastAsia="ru-RU"/>
        </w:rPr>
      </w:pPr>
    </w:p>
    <w:p w:rsidR="006B4DE4" w:rsidRDefault="006B4DE4" w:rsidP="000116D0">
      <w:pPr>
        <w:shd w:val="clear" w:color="auto" w:fill="FFFFFF"/>
        <w:spacing w:after="0" w:line="240" w:lineRule="auto"/>
        <w:ind w:right="22" w:firstLine="567"/>
        <w:jc w:val="both"/>
        <w:rPr>
          <w:rFonts w:ascii="Times New Roman" w:hAnsi="Times New Roman"/>
          <w:b/>
          <w:sz w:val="28"/>
          <w:szCs w:val="28"/>
          <w:lang w:eastAsia="ru-RU"/>
        </w:rPr>
      </w:pPr>
      <w:r>
        <w:rPr>
          <w:rFonts w:ascii="Times New Roman" w:hAnsi="Times New Roman"/>
          <w:b/>
          <w:sz w:val="28"/>
          <w:szCs w:val="28"/>
          <w:lang w:eastAsia="ru-RU"/>
        </w:rPr>
        <w:t>6. Прогноз впливу</w:t>
      </w:r>
    </w:p>
    <w:p w:rsidR="006B4DE4" w:rsidRDefault="006B4DE4" w:rsidP="000116D0">
      <w:pPr>
        <w:tabs>
          <w:tab w:val="left" w:pos="916"/>
          <w:tab w:val="left" w:pos="11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both"/>
        <w:rPr>
          <w:rFonts w:ascii="Times New Roman" w:hAnsi="Times New Roman"/>
          <w:sz w:val="28"/>
          <w:szCs w:val="28"/>
        </w:rPr>
      </w:pPr>
      <w:r>
        <w:rPr>
          <w:rFonts w:ascii="Times New Roman" w:hAnsi="Times New Roman"/>
          <w:sz w:val="28"/>
          <w:szCs w:val="28"/>
          <w:lang w:eastAsia="ru-RU"/>
        </w:rPr>
        <w:t xml:space="preserve">Прийняття </w:t>
      </w:r>
      <w:r>
        <w:rPr>
          <w:rFonts w:ascii="Times New Roman" w:hAnsi="Times New Roman"/>
          <w:sz w:val="28"/>
          <w:szCs w:val="28"/>
          <w:lang w:eastAsia="uk-UA"/>
        </w:rPr>
        <w:t>проєкту Закону</w:t>
      </w:r>
      <w:r>
        <w:rPr>
          <w:rFonts w:ascii="Times New Roman" w:hAnsi="Times New Roman"/>
          <w:sz w:val="28"/>
          <w:szCs w:val="28"/>
        </w:rPr>
        <w:t xml:space="preserve"> дозволить забезпечити сталий розвиток відновлюваної енергетики в економічно ефективний спосіб з урахуванням інтересів держави, виробників електричної енергії з альтернативних джерел енергії, споживачів електричної енергії та інших учасників ринку.</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Зокрема, дозволить:</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зменшити прогнозований дефіцит кошторису </w:t>
      </w:r>
      <w:r>
        <w:rPr>
          <w:rFonts w:ascii="Times New Roman" w:hAnsi="Times New Roman"/>
          <w:sz w:val="28"/>
          <w:szCs w:val="28"/>
        </w:rPr>
        <w:t>ДП </w:t>
      </w:r>
      <w:r>
        <w:rPr>
          <w:rFonts w:ascii="Times New Roman" w:hAnsi="Times New Roman"/>
          <w:sz w:val="28"/>
          <w:szCs w:val="28"/>
          <w:lang w:eastAsia="ru-RU"/>
        </w:rPr>
        <w:t>«</w:t>
      </w:r>
      <w:r>
        <w:rPr>
          <w:rFonts w:ascii="Times New Roman" w:hAnsi="Times New Roman"/>
          <w:sz w:val="28"/>
          <w:szCs w:val="28"/>
        </w:rPr>
        <w:t>Гарантований покупець</w:t>
      </w:r>
      <w:r>
        <w:rPr>
          <w:rFonts w:ascii="Times New Roman" w:hAnsi="Times New Roman"/>
          <w:sz w:val="28"/>
          <w:szCs w:val="28"/>
          <w:lang w:eastAsia="ru-RU"/>
        </w:rPr>
        <w:t>» на</w:t>
      </w:r>
      <w:r w:rsidR="00CD0D7D">
        <w:rPr>
          <w:rFonts w:ascii="Times New Roman" w:hAnsi="Times New Roman"/>
          <w:sz w:val="28"/>
          <w:szCs w:val="28"/>
          <w:lang w:eastAsia="ru-RU"/>
        </w:rPr>
        <w:t xml:space="preserve"> понад</w:t>
      </w:r>
      <w:r>
        <w:rPr>
          <w:rFonts w:ascii="Times New Roman" w:hAnsi="Times New Roman"/>
          <w:sz w:val="28"/>
          <w:szCs w:val="28"/>
          <w:lang w:val="ru-RU" w:eastAsia="ru-RU"/>
        </w:rPr>
        <w:t xml:space="preserve"> </w:t>
      </w:r>
      <w:r w:rsidR="007E4E0D">
        <w:rPr>
          <w:rFonts w:ascii="Times New Roman" w:hAnsi="Times New Roman"/>
          <w:sz w:val="28"/>
          <w:szCs w:val="28"/>
          <w:lang w:eastAsia="ru-RU"/>
        </w:rPr>
        <w:t>6</w:t>
      </w:r>
      <w:r>
        <w:rPr>
          <w:rFonts w:ascii="Times New Roman" w:hAnsi="Times New Roman"/>
          <w:sz w:val="28"/>
          <w:szCs w:val="28"/>
          <w:lang w:eastAsia="ru-RU"/>
        </w:rPr>
        <w:t>,</w:t>
      </w:r>
      <w:r w:rsidR="0063438C">
        <w:rPr>
          <w:rFonts w:ascii="Times New Roman" w:hAnsi="Times New Roman"/>
          <w:sz w:val="28"/>
          <w:szCs w:val="28"/>
          <w:lang w:eastAsia="ru-RU"/>
        </w:rPr>
        <w:t>4</w:t>
      </w:r>
      <w:r>
        <w:rPr>
          <w:rFonts w:ascii="Times New Roman" w:hAnsi="Times New Roman"/>
          <w:sz w:val="28"/>
          <w:szCs w:val="28"/>
          <w:lang w:val="ru-RU" w:eastAsia="ru-RU"/>
        </w:rPr>
        <w:t xml:space="preserve"> </w:t>
      </w:r>
      <w:r>
        <w:rPr>
          <w:rFonts w:ascii="Times New Roman" w:hAnsi="Times New Roman"/>
          <w:sz w:val="28"/>
          <w:szCs w:val="28"/>
          <w:lang w:eastAsia="ru-RU"/>
        </w:rPr>
        <w:t>млрд грн в рік;</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зменшити видатки за врегулювання небалансів, спричинених виробниками з ВДЕ, на понад 1 млрд грн в рік;</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зменшити сумарний обсяг виплат за «зеленим» тарифом на</w:t>
      </w:r>
      <w:r w:rsidR="00CD0D7D">
        <w:rPr>
          <w:rFonts w:ascii="Times New Roman" w:hAnsi="Times New Roman"/>
          <w:sz w:val="28"/>
          <w:szCs w:val="28"/>
          <w:lang w:eastAsia="ru-RU"/>
        </w:rPr>
        <w:t xml:space="preserve"> понад</w:t>
      </w:r>
      <w:r>
        <w:rPr>
          <w:rFonts w:ascii="Times New Roman" w:hAnsi="Times New Roman"/>
          <w:sz w:val="28"/>
          <w:szCs w:val="28"/>
          <w:lang w:eastAsia="ru-RU"/>
        </w:rPr>
        <w:t xml:space="preserve"> </w:t>
      </w:r>
      <w:r w:rsidR="0063438C">
        <w:rPr>
          <w:rFonts w:ascii="Times New Roman" w:hAnsi="Times New Roman"/>
          <w:sz w:val="28"/>
          <w:szCs w:val="28"/>
          <w:lang w:eastAsia="ru-RU"/>
        </w:rPr>
        <w:t>2</w:t>
      </w:r>
      <w:r>
        <w:rPr>
          <w:rFonts w:ascii="Times New Roman" w:hAnsi="Times New Roman"/>
          <w:sz w:val="28"/>
          <w:szCs w:val="28"/>
          <w:lang w:eastAsia="ru-RU"/>
        </w:rPr>
        <w:t xml:space="preserve"> млрд євро;</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вдвічі знизити прогнозований обсяг обмежень виробництва електроенергії об’єктами відновлюваної енергетики та атомними електростанціями;</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удосконалити процедуру організації та проведення аукціонів з розподілу квоти підтримки та прискорити її запровадження, що дозволить знизити вартість «зеленої» електроенергії та узгодити темпи розвитку галузі з технічними можливостями ОЕС України до інтеграції об’єктів відновлюваної енергетики.</w:t>
      </w:r>
    </w:p>
    <w:p w:rsidR="006B4DE4" w:rsidRDefault="006B4DE4" w:rsidP="000116D0">
      <w:pPr>
        <w:pStyle w:val="af5"/>
        <w:widowControl w:val="0"/>
        <w:spacing w:after="0"/>
        <w:ind w:left="0" w:firstLine="567"/>
        <w:jc w:val="both"/>
        <w:rPr>
          <w:color w:val="000000"/>
          <w:shd w:val="clear" w:color="auto" w:fill="FFFFFF"/>
          <w:lang w:val="uk-UA" w:eastAsia="x-none"/>
        </w:rPr>
      </w:pPr>
      <w:r>
        <w:rPr>
          <w:iCs/>
          <w:sz w:val="28"/>
          <w:szCs w:val="28"/>
          <w:lang w:val="uk-UA" w:eastAsia="x-none"/>
        </w:rPr>
        <w:t>Про</w:t>
      </w:r>
      <w:r w:rsidR="007E4E0D">
        <w:rPr>
          <w:iCs/>
          <w:sz w:val="28"/>
          <w:szCs w:val="28"/>
          <w:lang w:val="uk-UA" w:eastAsia="x-none"/>
        </w:rPr>
        <w:t>є</w:t>
      </w:r>
      <w:r>
        <w:rPr>
          <w:iCs/>
          <w:sz w:val="28"/>
          <w:szCs w:val="28"/>
          <w:lang w:val="uk-UA" w:eastAsia="x-none"/>
        </w:rPr>
        <w:t>кт акта за предметом правового регулювання не має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громадське здоров’я, покращення чи погіршення стану здоров'я населення або його окремих груп; е</w:t>
      </w:r>
      <w:r>
        <w:rPr>
          <w:color w:val="000000"/>
          <w:sz w:val="28"/>
          <w:szCs w:val="28"/>
          <w:shd w:val="clear" w:color="auto" w:fill="FFFFFF"/>
          <w:lang w:val="uk-UA"/>
        </w:rPr>
        <w:t>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w:t>
      </w:r>
      <w:r>
        <w:rPr>
          <w:color w:val="000000"/>
          <w:sz w:val="28"/>
          <w:szCs w:val="28"/>
          <w:shd w:val="clear" w:color="auto" w:fill="FFFFFF"/>
          <w:lang w:val="uk-UA" w:eastAsia="x-none"/>
        </w:rPr>
        <w:t>.</w:t>
      </w:r>
    </w:p>
    <w:p w:rsidR="006B4DE4" w:rsidRDefault="006B4DE4" w:rsidP="000116D0">
      <w:pPr>
        <w:spacing w:after="0" w:line="240" w:lineRule="auto"/>
        <w:ind w:firstLine="567"/>
        <w:jc w:val="both"/>
        <w:rPr>
          <w:rFonts w:ascii="Times New Roman" w:hAnsi="Times New Roman"/>
          <w:b/>
          <w:sz w:val="28"/>
          <w:szCs w:val="28"/>
          <w:lang w:eastAsia="ru-RU"/>
        </w:rPr>
      </w:pPr>
    </w:p>
    <w:p w:rsidR="006B4DE4" w:rsidRDefault="006B4DE4" w:rsidP="000116D0">
      <w:pPr>
        <w:tabs>
          <w:tab w:val="left" w:pos="6390"/>
        </w:tabs>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7. Позиція заінтересованих органів</w:t>
      </w:r>
      <w:r>
        <w:rPr>
          <w:rFonts w:ascii="Times New Roman" w:hAnsi="Times New Roman"/>
          <w:b/>
          <w:sz w:val="28"/>
          <w:szCs w:val="28"/>
          <w:lang w:eastAsia="ru-RU"/>
        </w:rPr>
        <w:tab/>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Проєкт акта потребує погодження з Міністерством розвитку економіки, торгівлі та сільського господарства України, Міністерством фінансів України, Національною комісією, що здійснює державне регулювання у сферах енергетики та комунальних послуг та Антимонопольним комітетом України.</w:t>
      </w:r>
    </w:p>
    <w:p w:rsidR="006B4DE4" w:rsidRDefault="006B4DE4" w:rsidP="000116D0">
      <w:pPr>
        <w:spacing w:after="0"/>
        <w:ind w:firstLine="567"/>
        <w:jc w:val="both"/>
        <w:rPr>
          <w:rFonts w:ascii="Times New Roman" w:hAnsi="Times New Roman"/>
          <w:sz w:val="28"/>
          <w:szCs w:val="28"/>
        </w:rPr>
      </w:pPr>
      <w:r>
        <w:rPr>
          <w:rFonts w:ascii="Times New Roman" w:hAnsi="Times New Roman"/>
          <w:sz w:val="28"/>
          <w:szCs w:val="28"/>
        </w:rPr>
        <w:t>Про</w:t>
      </w:r>
      <w:r w:rsidR="00B91CC7">
        <w:rPr>
          <w:rFonts w:ascii="Times New Roman" w:hAnsi="Times New Roman"/>
          <w:sz w:val="28"/>
          <w:szCs w:val="28"/>
        </w:rPr>
        <w:t>є</w:t>
      </w:r>
      <w:r>
        <w:rPr>
          <w:rFonts w:ascii="Times New Roman" w:hAnsi="Times New Roman"/>
          <w:sz w:val="28"/>
          <w:szCs w:val="28"/>
        </w:rPr>
        <w:t>кт акта потребує проведення правової експертизи Міністерством юстиції України відповідно до § 44 Регламенту Кабінету Міністрів України, затвердженого постановою Кабінету Міністрів України від 18 липня 2007 р. №</w:t>
      </w:r>
      <w:r>
        <w:rPr>
          <w:lang w:val="ru-RU"/>
        </w:rPr>
        <w:t> </w:t>
      </w:r>
      <w:r>
        <w:rPr>
          <w:rFonts w:ascii="Times New Roman" w:hAnsi="Times New Roman"/>
          <w:sz w:val="28"/>
          <w:szCs w:val="28"/>
        </w:rPr>
        <w:t>950.</w:t>
      </w:r>
    </w:p>
    <w:p w:rsidR="0063438C" w:rsidRDefault="0063438C" w:rsidP="000116D0">
      <w:pPr>
        <w:spacing w:after="0"/>
        <w:ind w:firstLine="567"/>
        <w:jc w:val="both"/>
        <w:rPr>
          <w:rFonts w:ascii="Times New Roman" w:hAnsi="Times New Roman"/>
          <w:sz w:val="28"/>
          <w:szCs w:val="28"/>
        </w:rPr>
      </w:pPr>
    </w:p>
    <w:p w:rsidR="00E316F6" w:rsidRDefault="00E316F6" w:rsidP="000116D0">
      <w:pPr>
        <w:spacing w:after="0"/>
        <w:ind w:firstLine="567"/>
        <w:jc w:val="both"/>
        <w:rPr>
          <w:rFonts w:ascii="Times New Roman" w:hAnsi="Times New Roman"/>
          <w:sz w:val="28"/>
          <w:szCs w:val="28"/>
        </w:rPr>
      </w:pPr>
    </w:p>
    <w:p w:rsidR="00E316F6" w:rsidRDefault="00E316F6" w:rsidP="000116D0">
      <w:pPr>
        <w:spacing w:after="0"/>
        <w:ind w:firstLine="567"/>
        <w:jc w:val="both"/>
        <w:rPr>
          <w:rFonts w:ascii="Times New Roman" w:hAnsi="Times New Roman"/>
          <w:sz w:val="28"/>
          <w:szCs w:val="28"/>
        </w:rPr>
      </w:pPr>
    </w:p>
    <w:p w:rsidR="006B4DE4" w:rsidRDefault="006B4DE4" w:rsidP="000116D0">
      <w:pPr>
        <w:spacing w:after="0"/>
        <w:ind w:firstLine="567"/>
        <w:jc w:val="both"/>
        <w:rPr>
          <w:rFonts w:ascii="Times New Roman" w:hAnsi="Times New Roman"/>
          <w:b/>
          <w:bCs/>
          <w:sz w:val="28"/>
          <w:szCs w:val="28"/>
        </w:rPr>
      </w:pPr>
      <w:r>
        <w:rPr>
          <w:rFonts w:ascii="Times New Roman" w:hAnsi="Times New Roman"/>
          <w:b/>
          <w:bCs/>
          <w:sz w:val="28"/>
          <w:szCs w:val="28"/>
        </w:rPr>
        <w:lastRenderedPageBreak/>
        <w:t>8. Ризики та обмеження</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У проєкті </w:t>
      </w:r>
      <w:r w:rsidR="00CD0D7D">
        <w:rPr>
          <w:rFonts w:ascii="Times New Roman" w:hAnsi="Times New Roman"/>
          <w:sz w:val="28"/>
          <w:szCs w:val="28"/>
          <w:lang w:eastAsia="ru-RU"/>
        </w:rPr>
        <w:t>акта</w:t>
      </w:r>
      <w:r>
        <w:rPr>
          <w:rFonts w:ascii="Times New Roman" w:hAnsi="Times New Roman"/>
          <w:sz w:val="28"/>
          <w:szCs w:val="28"/>
          <w:lang w:eastAsia="ru-RU"/>
        </w:rPr>
        <w:t xml:space="preserve"> відсутні положення, що стосуються прав та свобод, гарантованих Конвенцією про захист прав людини і основоположних свобод. Також відсутні положення, які порушують принцип забезпечення рівних прав та можливостей жінок і чоловіків, норми, що можуть містити ризики вчинення корупційних правопорушень, та положення, які містять ознаки дискримінації.</w:t>
      </w:r>
    </w:p>
    <w:p w:rsidR="006B4DE4" w:rsidRDefault="006B4DE4" w:rsidP="000116D0">
      <w:pPr>
        <w:spacing w:after="0" w:line="240" w:lineRule="auto"/>
        <w:ind w:firstLine="567"/>
        <w:jc w:val="both"/>
        <w:rPr>
          <w:rFonts w:ascii="Times New Roman" w:hAnsi="Times New Roman"/>
          <w:sz w:val="28"/>
          <w:szCs w:val="28"/>
          <w:lang w:eastAsia="ru-RU"/>
        </w:rPr>
      </w:pPr>
    </w:p>
    <w:p w:rsidR="006B4DE4" w:rsidRDefault="006B4DE4" w:rsidP="000116D0">
      <w:pPr>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9. Підстава розроблення проекту акта</w:t>
      </w:r>
    </w:p>
    <w:p w:rsidR="006B4DE4" w:rsidRDefault="006B4DE4" w:rsidP="000116D0">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Проєкт </w:t>
      </w:r>
      <w:r>
        <w:rPr>
          <w:rFonts w:ascii="Times New Roman" w:hAnsi="Times New Roman"/>
          <w:sz w:val="28"/>
          <w:szCs w:val="28"/>
          <w:lang w:eastAsia="uk-UA"/>
        </w:rPr>
        <w:t xml:space="preserve">акта </w:t>
      </w:r>
      <w:r>
        <w:rPr>
          <w:rFonts w:ascii="Times New Roman" w:hAnsi="Times New Roman"/>
          <w:sz w:val="28"/>
          <w:szCs w:val="28"/>
          <w:lang w:eastAsia="ru-RU"/>
        </w:rPr>
        <w:t xml:space="preserve">розроблений Міністерством енергетики України </w:t>
      </w:r>
      <w:r>
        <w:rPr>
          <w:rFonts w:ascii="Times New Roman" w:hAnsi="Times New Roman"/>
          <w:sz w:val="28"/>
          <w:lang w:eastAsia="ru-RU"/>
        </w:rPr>
        <w:t xml:space="preserve">відповідно до цілей Енергетичної стратегії України до 2035 року «Безпека, енергоефективність, конкурентоспроможність», схваленої розпорядженням Кабінету Міністрів України від 18.08.2017 № 605, на виконання пункту 11 Протоколу № 1 засідання Антикризового енергетичного штабу від 29.04.2020 та </w:t>
      </w:r>
      <w:r>
        <w:rPr>
          <w:rFonts w:ascii="Times New Roman" w:hAnsi="Times New Roman"/>
          <w:sz w:val="28"/>
          <w:szCs w:val="28"/>
          <w:lang w:eastAsia="ru-RU"/>
        </w:rPr>
        <w:t xml:space="preserve">з метою вирішення нагальних економічних і технічних викликів, які унеможливлюють подальший сталий розвиток відновлюваної енергетики України </w:t>
      </w:r>
    </w:p>
    <w:p w:rsidR="006B4DE4" w:rsidRDefault="006B4DE4" w:rsidP="000116D0">
      <w:pPr>
        <w:spacing w:before="120" w:after="0" w:line="240" w:lineRule="auto"/>
        <w:ind w:firstLine="567"/>
        <w:jc w:val="both"/>
        <w:rPr>
          <w:rFonts w:ascii="Times New Roman" w:hAnsi="Times New Roman"/>
          <w:sz w:val="28"/>
          <w:szCs w:val="28"/>
          <w:lang w:eastAsia="ru-RU"/>
        </w:rPr>
      </w:pPr>
    </w:p>
    <w:p w:rsidR="006B4DE4" w:rsidRDefault="006B4DE4">
      <w:pPr>
        <w:spacing w:before="120" w:after="0" w:line="240" w:lineRule="auto"/>
        <w:jc w:val="both"/>
        <w:rPr>
          <w:rFonts w:ascii="Times New Roman" w:hAnsi="Times New Roman"/>
          <w:sz w:val="28"/>
          <w:szCs w:val="28"/>
          <w:lang w:eastAsia="ru-RU"/>
        </w:rPr>
      </w:pPr>
    </w:p>
    <w:p w:rsidR="006B4DE4" w:rsidRDefault="006B4DE4">
      <w:pPr>
        <w:spacing w:after="0" w:line="240" w:lineRule="auto"/>
        <w:rPr>
          <w:rFonts w:ascii="Times New Roman" w:hAnsi="Times New Roman"/>
          <w:b/>
          <w:sz w:val="28"/>
          <w:szCs w:val="28"/>
          <w:lang w:eastAsia="ru-RU"/>
        </w:rPr>
      </w:pPr>
      <w:r>
        <w:rPr>
          <w:rFonts w:ascii="Times New Roman" w:hAnsi="Times New Roman"/>
          <w:b/>
          <w:sz w:val="28"/>
          <w:szCs w:val="28"/>
          <w:lang w:eastAsia="ru-RU"/>
        </w:rPr>
        <w:t>В. о. Міністра енергетики України                                     Ольга БУСЛАВЕЦЬ</w:t>
      </w:r>
    </w:p>
    <w:p w:rsidR="006B4DE4" w:rsidRDefault="006B4DE4">
      <w:pPr>
        <w:spacing w:after="0" w:line="240" w:lineRule="auto"/>
        <w:rPr>
          <w:rFonts w:ascii="Times New Roman" w:hAnsi="Times New Roman"/>
          <w:b/>
          <w:sz w:val="28"/>
          <w:szCs w:val="28"/>
          <w:lang w:eastAsia="ru-RU"/>
        </w:rPr>
      </w:pPr>
    </w:p>
    <w:p w:rsidR="006B4DE4" w:rsidRDefault="006B4DE4">
      <w:pPr>
        <w:spacing w:after="0" w:line="240" w:lineRule="auto"/>
        <w:rPr>
          <w:rFonts w:ascii="Times New Roman" w:hAnsi="Times New Roman"/>
          <w:b/>
          <w:sz w:val="28"/>
          <w:lang w:eastAsia="ru-RU"/>
        </w:rPr>
      </w:pPr>
      <w:r>
        <w:rPr>
          <w:rFonts w:ascii="Times New Roman" w:hAnsi="Times New Roman"/>
          <w:sz w:val="28"/>
          <w:szCs w:val="28"/>
          <w:lang w:eastAsia="ru-RU"/>
        </w:rPr>
        <w:t>«____» ______________ 2020 р.</w:t>
      </w:r>
    </w:p>
    <w:sectPr w:rsidR="006B4DE4" w:rsidSect="00957816">
      <w:headerReference w:type="even" r:id="rId9"/>
      <w:headerReference w:type="default" r:id="rId10"/>
      <w:footerReference w:type="default" r:id="rId11"/>
      <w:pgSz w:w="11906" w:h="16838"/>
      <w:pgMar w:top="993"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D48" w:rsidRDefault="00304D48">
      <w:pPr>
        <w:spacing w:after="0" w:line="240" w:lineRule="auto"/>
      </w:pPr>
      <w:r>
        <w:separator/>
      </w:r>
    </w:p>
  </w:endnote>
  <w:endnote w:type="continuationSeparator" w:id="0">
    <w:p w:rsidR="00304D48" w:rsidRDefault="00304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E4" w:rsidRDefault="006B4DE4">
    <w:pPr>
      <w:pStyle w:val="ae"/>
      <w:jc w:val="right"/>
    </w:pPr>
  </w:p>
  <w:p w:rsidR="006B4DE4" w:rsidRDefault="006B4DE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D48" w:rsidRDefault="00304D48">
      <w:pPr>
        <w:spacing w:after="0" w:line="240" w:lineRule="auto"/>
      </w:pPr>
      <w:r>
        <w:separator/>
      </w:r>
    </w:p>
  </w:footnote>
  <w:footnote w:type="continuationSeparator" w:id="0">
    <w:p w:rsidR="00304D48" w:rsidRDefault="00304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E4" w:rsidRDefault="006B4DE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B4DE4" w:rsidRDefault="006B4DE4">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DE4" w:rsidRDefault="006B4DE4">
    <w:pPr>
      <w:pStyle w:val="a3"/>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072C5A" w:rsidRPr="00072C5A">
      <w:rPr>
        <w:rFonts w:ascii="Times New Roman" w:hAnsi="Times New Roman"/>
        <w:noProof/>
        <w:sz w:val="28"/>
        <w:szCs w:val="28"/>
        <w:lang w:val="ru-RU"/>
      </w:rPr>
      <w:t>8</w:t>
    </w:r>
    <w:r>
      <w:rPr>
        <w:rFonts w:ascii="Times New Roman" w:hAnsi="Times New Roman"/>
        <w:sz w:val="28"/>
        <w:szCs w:val="28"/>
      </w:rPr>
      <w:fldChar w:fldCharType="end"/>
    </w:r>
  </w:p>
  <w:p w:rsidR="006B4DE4" w:rsidRDefault="006B4DE4">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6198"/>
    <w:multiLevelType w:val="hybridMultilevel"/>
    <w:tmpl w:val="01042E60"/>
    <w:lvl w:ilvl="0" w:tplc="5A189F68">
      <w:start w:val="1"/>
      <w:numFmt w:val="decimal"/>
      <w:lvlText w:val="%1)"/>
      <w:lvlJc w:val="left"/>
      <w:pPr>
        <w:ind w:left="1068" w:hanging="360"/>
      </w:pPr>
      <w:rPr>
        <w:rFonts w:cs="Times New Roman" w:hint="default"/>
      </w:rPr>
    </w:lvl>
    <w:lvl w:ilvl="1" w:tplc="20000019" w:tentative="1">
      <w:start w:val="1"/>
      <w:numFmt w:val="lowerLetter"/>
      <w:lvlText w:val="%2."/>
      <w:lvlJc w:val="left"/>
      <w:pPr>
        <w:ind w:left="1788" w:hanging="360"/>
      </w:pPr>
      <w:rPr>
        <w:rFonts w:cs="Times New Roman"/>
      </w:rPr>
    </w:lvl>
    <w:lvl w:ilvl="2" w:tplc="2000001B" w:tentative="1">
      <w:start w:val="1"/>
      <w:numFmt w:val="lowerRoman"/>
      <w:lvlText w:val="%3."/>
      <w:lvlJc w:val="right"/>
      <w:pPr>
        <w:ind w:left="2508" w:hanging="180"/>
      </w:pPr>
      <w:rPr>
        <w:rFonts w:cs="Times New Roman"/>
      </w:rPr>
    </w:lvl>
    <w:lvl w:ilvl="3" w:tplc="2000000F" w:tentative="1">
      <w:start w:val="1"/>
      <w:numFmt w:val="decimal"/>
      <w:lvlText w:val="%4."/>
      <w:lvlJc w:val="left"/>
      <w:pPr>
        <w:ind w:left="3228" w:hanging="360"/>
      </w:pPr>
      <w:rPr>
        <w:rFonts w:cs="Times New Roman"/>
      </w:rPr>
    </w:lvl>
    <w:lvl w:ilvl="4" w:tplc="20000019" w:tentative="1">
      <w:start w:val="1"/>
      <w:numFmt w:val="lowerLetter"/>
      <w:lvlText w:val="%5."/>
      <w:lvlJc w:val="left"/>
      <w:pPr>
        <w:ind w:left="3948" w:hanging="360"/>
      </w:pPr>
      <w:rPr>
        <w:rFonts w:cs="Times New Roman"/>
      </w:rPr>
    </w:lvl>
    <w:lvl w:ilvl="5" w:tplc="2000001B" w:tentative="1">
      <w:start w:val="1"/>
      <w:numFmt w:val="lowerRoman"/>
      <w:lvlText w:val="%6."/>
      <w:lvlJc w:val="right"/>
      <w:pPr>
        <w:ind w:left="4668" w:hanging="180"/>
      </w:pPr>
      <w:rPr>
        <w:rFonts w:cs="Times New Roman"/>
      </w:rPr>
    </w:lvl>
    <w:lvl w:ilvl="6" w:tplc="2000000F" w:tentative="1">
      <w:start w:val="1"/>
      <w:numFmt w:val="decimal"/>
      <w:lvlText w:val="%7."/>
      <w:lvlJc w:val="left"/>
      <w:pPr>
        <w:ind w:left="5388" w:hanging="360"/>
      </w:pPr>
      <w:rPr>
        <w:rFonts w:cs="Times New Roman"/>
      </w:rPr>
    </w:lvl>
    <w:lvl w:ilvl="7" w:tplc="20000019" w:tentative="1">
      <w:start w:val="1"/>
      <w:numFmt w:val="lowerLetter"/>
      <w:lvlText w:val="%8."/>
      <w:lvlJc w:val="left"/>
      <w:pPr>
        <w:ind w:left="6108" w:hanging="360"/>
      </w:pPr>
      <w:rPr>
        <w:rFonts w:cs="Times New Roman"/>
      </w:rPr>
    </w:lvl>
    <w:lvl w:ilvl="8" w:tplc="2000001B" w:tentative="1">
      <w:start w:val="1"/>
      <w:numFmt w:val="lowerRoman"/>
      <w:lvlText w:val="%9."/>
      <w:lvlJc w:val="right"/>
      <w:pPr>
        <w:ind w:left="6828" w:hanging="180"/>
      </w:pPr>
      <w:rPr>
        <w:rFonts w:cs="Times New Roman"/>
      </w:rPr>
    </w:lvl>
  </w:abstractNum>
  <w:abstractNum w:abstractNumId="1">
    <w:nsid w:val="20C67B32"/>
    <w:multiLevelType w:val="hybridMultilevel"/>
    <w:tmpl w:val="96720A48"/>
    <w:lvl w:ilvl="0" w:tplc="F90032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50C7FE4"/>
    <w:multiLevelType w:val="hybridMultilevel"/>
    <w:tmpl w:val="4E4650A8"/>
    <w:lvl w:ilvl="0" w:tplc="20000001">
      <w:start w:val="1"/>
      <w:numFmt w:val="bullet"/>
      <w:lvlText w:val=""/>
      <w:lvlJc w:val="left"/>
      <w:pPr>
        <w:ind w:left="1788" w:hanging="360"/>
      </w:pPr>
      <w:rPr>
        <w:rFonts w:ascii="Symbol" w:hAnsi="Symbol" w:hint="default"/>
      </w:rPr>
    </w:lvl>
    <w:lvl w:ilvl="1" w:tplc="20000003" w:tentative="1">
      <w:start w:val="1"/>
      <w:numFmt w:val="bullet"/>
      <w:lvlText w:val="o"/>
      <w:lvlJc w:val="left"/>
      <w:pPr>
        <w:ind w:left="2508" w:hanging="360"/>
      </w:pPr>
      <w:rPr>
        <w:rFonts w:ascii="Courier New" w:hAnsi="Courier New" w:hint="default"/>
      </w:rPr>
    </w:lvl>
    <w:lvl w:ilvl="2" w:tplc="20000005" w:tentative="1">
      <w:start w:val="1"/>
      <w:numFmt w:val="bullet"/>
      <w:lvlText w:val=""/>
      <w:lvlJc w:val="left"/>
      <w:pPr>
        <w:ind w:left="3228" w:hanging="360"/>
      </w:pPr>
      <w:rPr>
        <w:rFonts w:ascii="Wingdings" w:hAnsi="Wingdings" w:hint="default"/>
      </w:rPr>
    </w:lvl>
    <w:lvl w:ilvl="3" w:tplc="20000001" w:tentative="1">
      <w:start w:val="1"/>
      <w:numFmt w:val="bullet"/>
      <w:lvlText w:val=""/>
      <w:lvlJc w:val="left"/>
      <w:pPr>
        <w:ind w:left="3948" w:hanging="360"/>
      </w:pPr>
      <w:rPr>
        <w:rFonts w:ascii="Symbol" w:hAnsi="Symbol" w:hint="default"/>
      </w:rPr>
    </w:lvl>
    <w:lvl w:ilvl="4" w:tplc="20000003" w:tentative="1">
      <w:start w:val="1"/>
      <w:numFmt w:val="bullet"/>
      <w:lvlText w:val="o"/>
      <w:lvlJc w:val="left"/>
      <w:pPr>
        <w:ind w:left="4668" w:hanging="360"/>
      </w:pPr>
      <w:rPr>
        <w:rFonts w:ascii="Courier New" w:hAnsi="Courier New" w:hint="default"/>
      </w:rPr>
    </w:lvl>
    <w:lvl w:ilvl="5" w:tplc="20000005" w:tentative="1">
      <w:start w:val="1"/>
      <w:numFmt w:val="bullet"/>
      <w:lvlText w:val=""/>
      <w:lvlJc w:val="left"/>
      <w:pPr>
        <w:ind w:left="5388" w:hanging="360"/>
      </w:pPr>
      <w:rPr>
        <w:rFonts w:ascii="Wingdings" w:hAnsi="Wingdings" w:hint="default"/>
      </w:rPr>
    </w:lvl>
    <w:lvl w:ilvl="6" w:tplc="20000001" w:tentative="1">
      <w:start w:val="1"/>
      <w:numFmt w:val="bullet"/>
      <w:lvlText w:val=""/>
      <w:lvlJc w:val="left"/>
      <w:pPr>
        <w:ind w:left="6108" w:hanging="360"/>
      </w:pPr>
      <w:rPr>
        <w:rFonts w:ascii="Symbol" w:hAnsi="Symbol" w:hint="default"/>
      </w:rPr>
    </w:lvl>
    <w:lvl w:ilvl="7" w:tplc="20000003" w:tentative="1">
      <w:start w:val="1"/>
      <w:numFmt w:val="bullet"/>
      <w:lvlText w:val="o"/>
      <w:lvlJc w:val="left"/>
      <w:pPr>
        <w:ind w:left="6828" w:hanging="360"/>
      </w:pPr>
      <w:rPr>
        <w:rFonts w:ascii="Courier New" w:hAnsi="Courier New" w:hint="default"/>
      </w:rPr>
    </w:lvl>
    <w:lvl w:ilvl="8" w:tplc="20000005" w:tentative="1">
      <w:start w:val="1"/>
      <w:numFmt w:val="bullet"/>
      <w:lvlText w:val=""/>
      <w:lvlJc w:val="left"/>
      <w:pPr>
        <w:ind w:left="7548" w:hanging="360"/>
      </w:pPr>
      <w:rPr>
        <w:rFonts w:ascii="Wingdings" w:hAnsi="Wingdings" w:hint="default"/>
      </w:rPr>
    </w:lvl>
  </w:abstractNum>
  <w:abstractNum w:abstractNumId="3">
    <w:nsid w:val="4DF4536B"/>
    <w:multiLevelType w:val="hybridMultilevel"/>
    <w:tmpl w:val="E9C85984"/>
    <w:lvl w:ilvl="0" w:tplc="20000001">
      <w:start w:val="1"/>
      <w:numFmt w:val="bullet"/>
      <w:lvlText w:val=""/>
      <w:lvlJc w:val="left"/>
      <w:pPr>
        <w:ind w:left="1788" w:hanging="360"/>
      </w:pPr>
      <w:rPr>
        <w:rFonts w:ascii="Symbol" w:hAnsi="Symbol" w:hint="default"/>
      </w:rPr>
    </w:lvl>
    <w:lvl w:ilvl="1" w:tplc="20000003" w:tentative="1">
      <w:start w:val="1"/>
      <w:numFmt w:val="bullet"/>
      <w:lvlText w:val="o"/>
      <w:lvlJc w:val="left"/>
      <w:pPr>
        <w:ind w:left="2508" w:hanging="360"/>
      </w:pPr>
      <w:rPr>
        <w:rFonts w:ascii="Courier New" w:hAnsi="Courier New" w:hint="default"/>
      </w:rPr>
    </w:lvl>
    <w:lvl w:ilvl="2" w:tplc="20000005" w:tentative="1">
      <w:start w:val="1"/>
      <w:numFmt w:val="bullet"/>
      <w:lvlText w:val=""/>
      <w:lvlJc w:val="left"/>
      <w:pPr>
        <w:ind w:left="3228" w:hanging="360"/>
      </w:pPr>
      <w:rPr>
        <w:rFonts w:ascii="Wingdings" w:hAnsi="Wingdings" w:hint="default"/>
      </w:rPr>
    </w:lvl>
    <w:lvl w:ilvl="3" w:tplc="20000001" w:tentative="1">
      <w:start w:val="1"/>
      <w:numFmt w:val="bullet"/>
      <w:lvlText w:val=""/>
      <w:lvlJc w:val="left"/>
      <w:pPr>
        <w:ind w:left="3948" w:hanging="360"/>
      </w:pPr>
      <w:rPr>
        <w:rFonts w:ascii="Symbol" w:hAnsi="Symbol" w:hint="default"/>
      </w:rPr>
    </w:lvl>
    <w:lvl w:ilvl="4" w:tplc="20000003" w:tentative="1">
      <w:start w:val="1"/>
      <w:numFmt w:val="bullet"/>
      <w:lvlText w:val="o"/>
      <w:lvlJc w:val="left"/>
      <w:pPr>
        <w:ind w:left="4668" w:hanging="360"/>
      </w:pPr>
      <w:rPr>
        <w:rFonts w:ascii="Courier New" w:hAnsi="Courier New" w:hint="default"/>
      </w:rPr>
    </w:lvl>
    <w:lvl w:ilvl="5" w:tplc="20000005" w:tentative="1">
      <w:start w:val="1"/>
      <w:numFmt w:val="bullet"/>
      <w:lvlText w:val=""/>
      <w:lvlJc w:val="left"/>
      <w:pPr>
        <w:ind w:left="5388" w:hanging="360"/>
      </w:pPr>
      <w:rPr>
        <w:rFonts w:ascii="Wingdings" w:hAnsi="Wingdings" w:hint="default"/>
      </w:rPr>
    </w:lvl>
    <w:lvl w:ilvl="6" w:tplc="20000001" w:tentative="1">
      <w:start w:val="1"/>
      <w:numFmt w:val="bullet"/>
      <w:lvlText w:val=""/>
      <w:lvlJc w:val="left"/>
      <w:pPr>
        <w:ind w:left="6108" w:hanging="360"/>
      </w:pPr>
      <w:rPr>
        <w:rFonts w:ascii="Symbol" w:hAnsi="Symbol" w:hint="default"/>
      </w:rPr>
    </w:lvl>
    <w:lvl w:ilvl="7" w:tplc="20000003" w:tentative="1">
      <w:start w:val="1"/>
      <w:numFmt w:val="bullet"/>
      <w:lvlText w:val="o"/>
      <w:lvlJc w:val="left"/>
      <w:pPr>
        <w:ind w:left="6828" w:hanging="360"/>
      </w:pPr>
      <w:rPr>
        <w:rFonts w:ascii="Courier New" w:hAnsi="Courier New" w:hint="default"/>
      </w:rPr>
    </w:lvl>
    <w:lvl w:ilvl="8" w:tplc="20000005" w:tentative="1">
      <w:start w:val="1"/>
      <w:numFmt w:val="bullet"/>
      <w:lvlText w:val=""/>
      <w:lvlJc w:val="left"/>
      <w:pPr>
        <w:ind w:left="7548" w:hanging="360"/>
      </w:pPr>
      <w:rPr>
        <w:rFonts w:ascii="Wingdings" w:hAnsi="Wingdings" w:hint="default"/>
      </w:rPr>
    </w:lvl>
  </w:abstractNum>
  <w:abstractNum w:abstractNumId="4">
    <w:nsid w:val="59BC4685"/>
    <w:multiLevelType w:val="hybridMultilevel"/>
    <w:tmpl w:val="927C14BC"/>
    <w:lvl w:ilvl="0" w:tplc="1160DF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F2B4CED"/>
    <w:multiLevelType w:val="hybridMultilevel"/>
    <w:tmpl w:val="B0727C82"/>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
    <w:nsid w:val="638B0E95"/>
    <w:multiLevelType w:val="hybridMultilevel"/>
    <w:tmpl w:val="7994B7F8"/>
    <w:lvl w:ilvl="0" w:tplc="5396006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7">
    <w:nsid w:val="66E24B6E"/>
    <w:multiLevelType w:val="hybridMultilevel"/>
    <w:tmpl w:val="D490175C"/>
    <w:lvl w:ilvl="0" w:tplc="DC1CE0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44A7E44"/>
    <w:multiLevelType w:val="hybridMultilevel"/>
    <w:tmpl w:val="6AA6021A"/>
    <w:lvl w:ilvl="0" w:tplc="6DA49282">
      <w:start w:val="1"/>
      <w:numFmt w:val="bullet"/>
      <w:lvlText w:val=""/>
      <w:lvlJc w:val="left"/>
      <w:pPr>
        <w:ind w:left="1070" w:hanging="360"/>
      </w:pPr>
      <w:rPr>
        <w:rFonts w:ascii="Symbol" w:hAnsi="Symbol" w:hint="default"/>
      </w:rPr>
    </w:lvl>
    <w:lvl w:ilvl="1" w:tplc="DDEE6E7C">
      <w:numFmt w:val="bullet"/>
      <w:lvlText w:val="-"/>
      <w:lvlJc w:val="left"/>
      <w:pPr>
        <w:ind w:left="1633" w:hanging="912"/>
      </w:pPr>
      <w:rPr>
        <w:rFonts w:ascii="Times New Roman" w:eastAsia="Times New Roman" w:hAnsi="Times New Roman" w:hint="default"/>
      </w:rPr>
    </w:lvl>
    <w:lvl w:ilvl="2" w:tplc="04190005" w:tentative="1">
      <w:start w:val="1"/>
      <w:numFmt w:val="bullet"/>
      <w:lvlText w:val=""/>
      <w:lvlJc w:val="left"/>
      <w:pPr>
        <w:ind w:left="1801" w:hanging="360"/>
      </w:pPr>
      <w:rPr>
        <w:rFonts w:ascii="Wingdings" w:hAnsi="Wingdings" w:hint="default"/>
      </w:rPr>
    </w:lvl>
    <w:lvl w:ilvl="3" w:tplc="04190001" w:tentative="1">
      <w:start w:val="1"/>
      <w:numFmt w:val="bullet"/>
      <w:lvlText w:val=""/>
      <w:lvlJc w:val="left"/>
      <w:pPr>
        <w:ind w:left="2521" w:hanging="360"/>
      </w:pPr>
      <w:rPr>
        <w:rFonts w:ascii="Symbol" w:hAnsi="Symbol" w:hint="default"/>
      </w:rPr>
    </w:lvl>
    <w:lvl w:ilvl="4" w:tplc="04190003" w:tentative="1">
      <w:start w:val="1"/>
      <w:numFmt w:val="bullet"/>
      <w:lvlText w:val="o"/>
      <w:lvlJc w:val="left"/>
      <w:pPr>
        <w:ind w:left="3241" w:hanging="360"/>
      </w:pPr>
      <w:rPr>
        <w:rFonts w:ascii="Courier New" w:hAnsi="Courier New" w:hint="default"/>
      </w:rPr>
    </w:lvl>
    <w:lvl w:ilvl="5" w:tplc="04190005" w:tentative="1">
      <w:start w:val="1"/>
      <w:numFmt w:val="bullet"/>
      <w:lvlText w:val=""/>
      <w:lvlJc w:val="left"/>
      <w:pPr>
        <w:ind w:left="3961" w:hanging="360"/>
      </w:pPr>
      <w:rPr>
        <w:rFonts w:ascii="Wingdings" w:hAnsi="Wingdings" w:hint="default"/>
      </w:rPr>
    </w:lvl>
    <w:lvl w:ilvl="6" w:tplc="04190001" w:tentative="1">
      <w:start w:val="1"/>
      <w:numFmt w:val="bullet"/>
      <w:lvlText w:val=""/>
      <w:lvlJc w:val="left"/>
      <w:pPr>
        <w:ind w:left="4681" w:hanging="360"/>
      </w:pPr>
      <w:rPr>
        <w:rFonts w:ascii="Symbol" w:hAnsi="Symbol" w:hint="default"/>
      </w:rPr>
    </w:lvl>
    <w:lvl w:ilvl="7" w:tplc="04190003" w:tentative="1">
      <w:start w:val="1"/>
      <w:numFmt w:val="bullet"/>
      <w:lvlText w:val="o"/>
      <w:lvlJc w:val="left"/>
      <w:pPr>
        <w:ind w:left="5401" w:hanging="360"/>
      </w:pPr>
      <w:rPr>
        <w:rFonts w:ascii="Courier New" w:hAnsi="Courier New" w:hint="default"/>
      </w:rPr>
    </w:lvl>
    <w:lvl w:ilvl="8" w:tplc="04190005" w:tentative="1">
      <w:start w:val="1"/>
      <w:numFmt w:val="bullet"/>
      <w:lvlText w:val=""/>
      <w:lvlJc w:val="left"/>
      <w:pPr>
        <w:ind w:left="6121" w:hanging="360"/>
      </w:pPr>
      <w:rPr>
        <w:rFonts w:ascii="Wingdings" w:hAnsi="Wingdings" w:hint="default"/>
      </w:rPr>
    </w:lvl>
  </w:abstractNum>
  <w:abstractNum w:abstractNumId="9">
    <w:nsid w:val="77653448"/>
    <w:multiLevelType w:val="hybridMultilevel"/>
    <w:tmpl w:val="DFC07CE2"/>
    <w:lvl w:ilvl="0" w:tplc="7FD21D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8"/>
  </w:num>
  <w:num w:numId="2">
    <w:abstractNumId w:val="5"/>
  </w:num>
  <w:num w:numId="3">
    <w:abstractNumId w:val="0"/>
  </w:num>
  <w:num w:numId="4">
    <w:abstractNumId w:val="2"/>
  </w:num>
  <w:num w:numId="5">
    <w:abstractNumId w:val="3"/>
  </w:num>
  <w:num w:numId="6">
    <w:abstractNumId w:val="9"/>
  </w:num>
  <w:num w:numId="7">
    <w:abstractNumId w:val="7"/>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213"/>
    <w:rsid w:val="000116D0"/>
    <w:rsid w:val="00072C5A"/>
    <w:rsid w:val="000A0F6B"/>
    <w:rsid w:val="00304D48"/>
    <w:rsid w:val="004905B6"/>
    <w:rsid w:val="00581213"/>
    <w:rsid w:val="005B27B6"/>
    <w:rsid w:val="0063438C"/>
    <w:rsid w:val="006A32A3"/>
    <w:rsid w:val="006B4DE4"/>
    <w:rsid w:val="00716D36"/>
    <w:rsid w:val="007917FC"/>
    <w:rsid w:val="007E4E0D"/>
    <w:rsid w:val="00870266"/>
    <w:rsid w:val="00957816"/>
    <w:rsid w:val="00A2239A"/>
    <w:rsid w:val="00A55597"/>
    <w:rsid w:val="00B632F6"/>
    <w:rsid w:val="00B91CC7"/>
    <w:rsid w:val="00BE20BC"/>
    <w:rsid w:val="00CD0D7D"/>
    <w:rsid w:val="00D46242"/>
    <w:rsid w:val="00D7337E"/>
    <w:rsid w:val="00DB0555"/>
    <w:rsid w:val="00DF7C1A"/>
    <w:rsid w:val="00E316F6"/>
    <w:rsid w:val="00F0413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cs="Times New Roman"/>
      <w:sz w:val="22"/>
      <w:szCs w:val="22"/>
      <w:lang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Pr>
      <w:rFonts w:cs="Times New Roman"/>
    </w:rPr>
  </w:style>
  <w:style w:type="character" w:styleId="a5">
    <w:name w:val="page number"/>
    <w:basedOn w:val="a0"/>
    <w:uiPriority w:val="99"/>
    <w:rPr>
      <w:rFonts w:cs="Times New Roman"/>
    </w:rPr>
  </w:style>
  <w:style w:type="character" w:styleId="a6">
    <w:name w:val="annotation reference"/>
    <w:basedOn w:val="a0"/>
    <w:uiPriority w:val="99"/>
    <w:semiHidden/>
    <w:rPr>
      <w:rFonts w:cs="Times New Roman"/>
      <w:sz w:val="16"/>
    </w:rPr>
  </w:style>
  <w:style w:type="paragraph" w:styleId="a7">
    <w:name w:val="annotation text"/>
    <w:basedOn w:val="a"/>
    <w:link w:val="a8"/>
    <w:uiPriority w:val="99"/>
    <w:semiHidden/>
    <w:pPr>
      <w:spacing w:line="240" w:lineRule="auto"/>
    </w:pPr>
    <w:rPr>
      <w:sz w:val="20"/>
      <w:szCs w:val="20"/>
    </w:rPr>
  </w:style>
  <w:style w:type="character" w:customStyle="1" w:styleId="a8">
    <w:name w:val="Текст примечания Знак"/>
    <w:basedOn w:val="a0"/>
    <w:link w:val="a7"/>
    <w:uiPriority w:val="99"/>
    <w:semiHidden/>
    <w:locked/>
    <w:rPr>
      <w:rFonts w:cs="Times New Roman"/>
      <w:sz w:val="20"/>
    </w:rPr>
  </w:style>
  <w:style w:type="paragraph" w:styleId="a9">
    <w:name w:val="annotation subject"/>
    <w:basedOn w:val="a7"/>
    <w:next w:val="a7"/>
    <w:link w:val="aa"/>
    <w:uiPriority w:val="99"/>
    <w:semiHidden/>
    <w:rPr>
      <w:b/>
      <w:bCs/>
    </w:rPr>
  </w:style>
  <w:style w:type="character" w:customStyle="1" w:styleId="aa">
    <w:name w:val="Тема примечания Знак"/>
    <w:basedOn w:val="a8"/>
    <w:link w:val="a9"/>
    <w:uiPriority w:val="99"/>
    <w:semiHidden/>
    <w:locked/>
    <w:rPr>
      <w:rFonts w:cs="Times New Roman"/>
      <w:b/>
      <w:sz w:val="20"/>
    </w:rPr>
  </w:style>
  <w:style w:type="paragraph" w:styleId="ab">
    <w:name w:val="Balloon Text"/>
    <w:basedOn w:val="a"/>
    <w:link w:val="ac"/>
    <w:uiPriority w:val="99"/>
    <w:semiHidden/>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locked/>
    <w:rPr>
      <w:rFonts w:ascii="Segoe UI" w:hAnsi="Segoe UI" w:cs="Times New Roman"/>
      <w:sz w:val="18"/>
    </w:rPr>
  </w:style>
  <w:style w:type="paragraph" w:styleId="ad">
    <w:name w:val="List Paragraph"/>
    <w:basedOn w:val="a"/>
    <w:uiPriority w:val="99"/>
    <w:qFormat/>
    <w:pPr>
      <w:ind w:left="720"/>
      <w:contextualSpacing/>
    </w:pPr>
  </w:style>
  <w:style w:type="paragraph" w:styleId="ae">
    <w:name w:val="footer"/>
    <w:basedOn w:val="a"/>
    <w:link w:val="af"/>
    <w:uiPriority w:val="99"/>
    <w:pPr>
      <w:tabs>
        <w:tab w:val="center" w:pos="4677"/>
        <w:tab w:val="right" w:pos="9355"/>
      </w:tabs>
      <w:spacing w:after="0" w:line="240" w:lineRule="auto"/>
    </w:pPr>
  </w:style>
  <w:style w:type="character" w:customStyle="1" w:styleId="af">
    <w:name w:val="Нижний колонтитул Знак"/>
    <w:basedOn w:val="a0"/>
    <w:link w:val="ae"/>
    <w:uiPriority w:val="99"/>
    <w:locked/>
    <w:rPr>
      <w:rFonts w:cs="Times New Roman"/>
    </w:rPr>
  </w:style>
  <w:style w:type="paragraph" w:styleId="af0">
    <w:name w:val="footnote text"/>
    <w:basedOn w:val="a"/>
    <w:link w:val="af1"/>
    <w:uiPriority w:val="99"/>
    <w:semiHidden/>
    <w:unhideWhenUsed/>
    <w:rPr>
      <w:sz w:val="20"/>
      <w:szCs w:val="20"/>
    </w:rPr>
  </w:style>
  <w:style w:type="character" w:customStyle="1" w:styleId="af1">
    <w:name w:val="Текст сноски Знак"/>
    <w:basedOn w:val="a0"/>
    <w:link w:val="af0"/>
    <w:uiPriority w:val="99"/>
    <w:semiHidden/>
    <w:locked/>
    <w:rPr>
      <w:rFonts w:cs="Times New Roman"/>
      <w:sz w:val="20"/>
      <w:lang w:val="uk-UA" w:eastAsia="en-US"/>
    </w:rPr>
  </w:style>
  <w:style w:type="character" w:styleId="af2">
    <w:name w:val="footnote reference"/>
    <w:basedOn w:val="a0"/>
    <w:uiPriority w:val="99"/>
    <w:semiHidden/>
    <w:unhideWhenUsed/>
    <w:rPr>
      <w:rFonts w:cs="Times New Roman"/>
      <w:vertAlign w:val="superscript"/>
    </w:rPr>
  </w:style>
  <w:style w:type="character" w:customStyle="1" w:styleId="UnresolvedMention">
    <w:name w:val="Unresolved Mention"/>
    <w:basedOn w:val="a0"/>
    <w:uiPriority w:val="99"/>
    <w:semiHidden/>
    <w:unhideWhenUsed/>
    <w:rPr>
      <w:rFonts w:cs="Times New Roman"/>
      <w:color w:val="605E5C"/>
      <w:shd w:val="clear" w:color="auto" w:fill="E1DFDD"/>
    </w:rPr>
  </w:style>
  <w:style w:type="character" w:styleId="af3">
    <w:name w:val="Hyperlink"/>
    <w:basedOn w:val="a0"/>
    <w:uiPriority w:val="99"/>
    <w:unhideWhenUsed/>
    <w:rPr>
      <w:rFonts w:cs="Times New Roman"/>
      <w:color w:val="0563C1"/>
      <w:u w:val="single"/>
    </w:rPr>
  </w:style>
  <w:style w:type="character" w:customStyle="1" w:styleId="2">
    <w:name w:val="Основной текст (2)"/>
    <w:rPr>
      <w:rFonts w:ascii="Times New Roman" w:hAnsi="Times New Roman"/>
      <w:color w:val="000000"/>
      <w:spacing w:val="0"/>
      <w:w w:val="100"/>
      <w:position w:val="0"/>
      <w:sz w:val="22"/>
      <w:u w:val="none"/>
      <w:lang w:val="uk-UA" w:eastAsia="uk-UA"/>
    </w:rPr>
  </w:style>
  <w:style w:type="paragraph" w:styleId="af4">
    <w:name w:val="Normal (Web)"/>
    <w:basedOn w:val="a"/>
    <w:uiPriority w:val="99"/>
    <w:pPr>
      <w:spacing w:before="100" w:beforeAutospacing="1" w:after="100" w:afterAutospacing="1" w:line="240" w:lineRule="auto"/>
    </w:pPr>
    <w:rPr>
      <w:rFonts w:ascii="Times New Roman" w:hAnsi="Times New Roman"/>
      <w:sz w:val="24"/>
      <w:szCs w:val="24"/>
      <w:lang w:val="ru-RU" w:eastAsia="ru-RU"/>
    </w:rPr>
  </w:style>
  <w:style w:type="paragraph" w:styleId="af5">
    <w:name w:val="Body Text Indent"/>
    <w:basedOn w:val="a"/>
    <w:link w:val="af6"/>
    <w:uiPriority w:val="99"/>
    <w:unhideWhenUsed/>
    <w:pPr>
      <w:spacing w:after="120" w:line="240" w:lineRule="auto"/>
      <w:ind w:left="283"/>
    </w:pPr>
    <w:rPr>
      <w:rFonts w:ascii="Times New Roman" w:hAnsi="Times New Roman"/>
      <w:sz w:val="24"/>
      <w:szCs w:val="24"/>
      <w:lang w:val="ru-RU" w:eastAsia="ru-RU"/>
    </w:rPr>
  </w:style>
  <w:style w:type="character" w:customStyle="1" w:styleId="af6">
    <w:name w:val="Основной текст с отступом Знак"/>
    <w:basedOn w:val="a0"/>
    <w:link w:val="af5"/>
    <w:uiPriority w:val="99"/>
    <w:locked/>
    <w:rPr>
      <w:rFonts w:ascii="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60" w:line="259" w:lineRule="auto"/>
    </w:pPr>
    <w:rPr>
      <w:rFonts w:cs="Times New Roman"/>
      <w:sz w:val="22"/>
      <w:szCs w:val="22"/>
      <w:lang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Pr>
      <w:rFonts w:cs="Times New Roman"/>
    </w:rPr>
  </w:style>
  <w:style w:type="character" w:styleId="a5">
    <w:name w:val="page number"/>
    <w:basedOn w:val="a0"/>
    <w:uiPriority w:val="99"/>
    <w:rPr>
      <w:rFonts w:cs="Times New Roman"/>
    </w:rPr>
  </w:style>
  <w:style w:type="character" w:styleId="a6">
    <w:name w:val="annotation reference"/>
    <w:basedOn w:val="a0"/>
    <w:uiPriority w:val="99"/>
    <w:semiHidden/>
    <w:rPr>
      <w:rFonts w:cs="Times New Roman"/>
      <w:sz w:val="16"/>
    </w:rPr>
  </w:style>
  <w:style w:type="paragraph" w:styleId="a7">
    <w:name w:val="annotation text"/>
    <w:basedOn w:val="a"/>
    <w:link w:val="a8"/>
    <w:uiPriority w:val="99"/>
    <w:semiHidden/>
    <w:pPr>
      <w:spacing w:line="240" w:lineRule="auto"/>
    </w:pPr>
    <w:rPr>
      <w:sz w:val="20"/>
      <w:szCs w:val="20"/>
    </w:rPr>
  </w:style>
  <w:style w:type="character" w:customStyle="1" w:styleId="a8">
    <w:name w:val="Текст примечания Знак"/>
    <w:basedOn w:val="a0"/>
    <w:link w:val="a7"/>
    <w:uiPriority w:val="99"/>
    <w:semiHidden/>
    <w:locked/>
    <w:rPr>
      <w:rFonts w:cs="Times New Roman"/>
      <w:sz w:val="20"/>
    </w:rPr>
  </w:style>
  <w:style w:type="paragraph" w:styleId="a9">
    <w:name w:val="annotation subject"/>
    <w:basedOn w:val="a7"/>
    <w:next w:val="a7"/>
    <w:link w:val="aa"/>
    <w:uiPriority w:val="99"/>
    <w:semiHidden/>
    <w:rPr>
      <w:b/>
      <w:bCs/>
    </w:rPr>
  </w:style>
  <w:style w:type="character" w:customStyle="1" w:styleId="aa">
    <w:name w:val="Тема примечания Знак"/>
    <w:basedOn w:val="a8"/>
    <w:link w:val="a9"/>
    <w:uiPriority w:val="99"/>
    <w:semiHidden/>
    <w:locked/>
    <w:rPr>
      <w:rFonts w:cs="Times New Roman"/>
      <w:b/>
      <w:sz w:val="20"/>
    </w:rPr>
  </w:style>
  <w:style w:type="paragraph" w:styleId="ab">
    <w:name w:val="Balloon Text"/>
    <w:basedOn w:val="a"/>
    <w:link w:val="ac"/>
    <w:uiPriority w:val="99"/>
    <w:semiHidden/>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locked/>
    <w:rPr>
      <w:rFonts w:ascii="Segoe UI" w:hAnsi="Segoe UI" w:cs="Times New Roman"/>
      <w:sz w:val="18"/>
    </w:rPr>
  </w:style>
  <w:style w:type="paragraph" w:styleId="ad">
    <w:name w:val="List Paragraph"/>
    <w:basedOn w:val="a"/>
    <w:uiPriority w:val="99"/>
    <w:qFormat/>
    <w:pPr>
      <w:ind w:left="720"/>
      <w:contextualSpacing/>
    </w:pPr>
  </w:style>
  <w:style w:type="paragraph" w:styleId="ae">
    <w:name w:val="footer"/>
    <w:basedOn w:val="a"/>
    <w:link w:val="af"/>
    <w:uiPriority w:val="99"/>
    <w:pPr>
      <w:tabs>
        <w:tab w:val="center" w:pos="4677"/>
        <w:tab w:val="right" w:pos="9355"/>
      </w:tabs>
      <w:spacing w:after="0" w:line="240" w:lineRule="auto"/>
    </w:pPr>
  </w:style>
  <w:style w:type="character" w:customStyle="1" w:styleId="af">
    <w:name w:val="Нижний колонтитул Знак"/>
    <w:basedOn w:val="a0"/>
    <w:link w:val="ae"/>
    <w:uiPriority w:val="99"/>
    <w:locked/>
    <w:rPr>
      <w:rFonts w:cs="Times New Roman"/>
    </w:rPr>
  </w:style>
  <w:style w:type="paragraph" w:styleId="af0">
    <w:name w:val="footnote text"/>
    <w:basedOn w:val="a"/>
    <w:link w:val="af1"/>
    <w:uiPriority w:val="99"/>
    <w:semiHidden/>
    <w:unhideWhenUsed/>
    <w:rPr>
      <w:sz w:val="20"/>
      <w:szCs w:val="20"/>
    </w:rPr>
  </w:style>
  <w:style w:type="character" w:customStyle="1" w:styleId="af1">
    <w:name w:val="Текст сноски Знак"/>
    <w:basedOn w:val="a0"/>
    <w:link w:val="af0"/>
    <w:uiPriority w:val="99"/>
    <w:semiHidden/>
    <w:locked/>
    <w:rPr>
      <w:rFonts w:cs="Times New Roman"/>
      <w:sz w:val="20"/>
      <w:lang w:val="uk-UA" w:eastAsia="en-US"/>
    </w:rPr>
  </w:style>
  <w:style w:type="character" w:styleId="af2">
    <w:name w:val="footnote reference"/>
    <w:basedOn w:val="a0"/>
    <w:uiPriority w:val="99"/>
    <w:semiHidden/>
    <w:unhideWhenUsed/>
    <w:rPr>
      <w:rFonts w:cs="Times New Roman"/>
      <w:vertAlign w:val="superscript"/>
    </w:rPr>
  </w:style>
  <w:style w:type="character" w:customStyle="1" w:styleId="UnresolvedMention">
    <w:name w:val="Unresolved Mention"/>
    <w:basedOn w:val="a0"/>
    <w:uiPriority w:val="99"/>
    <w:semiHidden/>
    <w:unhideWhenUsed/>
    <w:rPr>
      <w:rFonts w:cs="Times New Roman"/>
      <w:color w:val="605E5C"/>
      <w:shd w:val="clear" w:color="auto" w:fill="E1DFDD"/>
    </w:rPr>
  </w:style>
  <w:style w:type="character" w:styleId="af3">
    <w:name w:val="Hyperlink"/>
    <w:basedOn w:val="a0"/>
    <w:uiPriority w:val="99"/>
    <w:unhideWhenUsed/>
    <w:rPr>
      <w:rFonts w:cs="Times New Roman"/>
      <w:color w:val="0563C1"/>
      <w:u w:val="single"/>
    </w:rPr>
  </w:style>
  <w:style w:type="character" w:customStyle="1" w:styleId="2">
    <w:name w:val="Основной текст (2)"/>
    <w:rPr>
      <w:rFonts w:ascii="Times New Roman" w:hAnsi="Times New Roman"/>
      <w:color w:val="000000"/>
      <w:spacing w:val="0"/>
      <w:w w:val="100"/>
      <w:position w:val="0"/>
      <w:sz w:val="22"/>
      <w:u w:val="none"/>
      <w:lang w:val="uk-UA" w:eastAsia="uk-UA"/>
    </w:rPr>
  </w:style>
  <w:style w:type="paragraph" w:styleId="af4">
    <w:name w:val="Normal (Web)"/>
    <w:basedOn w:val="a"/>
    <w:uiPriority w:val="99"/>
    <w:pPr>
      <w:spacing w:before="100" w:beforeAutospacing="1" w:after="100" w:afterAutospacing="1" w:line="240" w:lineRule="auto"/>
    </w:pPr>
    <w:rPr>
      <w:rFonts w:ascii="Times New Roman" w:hAnsi="Times New Roman"/>
      <w:sz w:val="24"/>
      <w:szCs w:val="24"/>
      <w:lang w:val="ru-RU" w:eastAsia="ru-RU"/>
    </w:rPr>
  </w:style>
  <w:style w:type="paragraph" w:styleId="af5">
    <w:name w:val="Body Text Indent"/>
    <w:basedOn w:val="a"/>
    <w:link w:val="af6"/>
    <w:uiPriority w:val="99"/>
    <w:unhideWhenUsed/>
    <w:pPr>
      <w:spacing w:after="120" w:line="240" w:lineRule="auto"/>
      <w:ind w:left="283"/>
    </w:pPr>
    <w:rPr>
      <w:rFonts w:ascii="Times New Roman" w:hAnsi="Times New Roman"/>
      <w:sz w:val="24"/>
      <w:szCs w:val="24"/>
      <w:lang w:val="ru-RU" w:eastAsia="ru-RU"/>
    </w:rPr>
  </w:style>
  <w:style w:type="character" w:customStyle="1" w:styleId="af6">
    <w:name w:val="Основной текст с отступом Знак"/>
    <w:basedOn w:val="a0"/>
    <w:link w:val="af5"/>
    <w:uiPriority w:val="99"/>
    <w:locked/>
    <w:rPr>
      <w:rFonts w:ascii="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240684">
      <w:marLeft w:val="0"/>
      <w:marRight w:val="0"/>
      <w:marTop w:val="0"/>
      <w:marBottom w:val="0"/>
      <w:divBdr>
        <w:top w:val="none" w:sz="0" w:space="0" w:color="auto"/>
        <w:left w:val="none" w:sz="0" w:space="0" w:color="auto"/>
        <w:bottom w:val="none" w:sz="0" w:space="0" w:color="auto"/>
        <w:right w:val="none" w:sz="0" w:space="0" w:color="auto"/>
      </w:divBdr>
    </w:div>
    <w:div w:id="1756240685">
      <w:marLeft w:val="0"/>
      <w:marRight w:val="0"/>
      <w:marTop w:val="0"/>
      <w:marBottom w:val="0"/>
      <w:divBdr>
        <w:top w:val="none" w:sz="0" w:space="0" w:color="auto"/>
        <w:left w:val="none" w:sz="0" w:space="0" w:color="auto"/>
        <w:bottom w:val="none" w:sz="0" w:space="0" w:color="auto"/>
        <w:right w:val="none" w:sz="0" w:space="0" w:color="auto"/>
      </w:divBdr>
    </w:div>
    <w:div w:id="1756240686">
      <w:marLeft w:val="0"/>
      <w:marRight w:val="0"/>
      <w:marTop w:val="0"/>
      <w:marBottom w:val="0"/>
      <w:divBdr>
        <w:top w:val="none" w:sz="0" w:space="0" w:color="auto"/>
        <w:left w:val="none" w:sz="0" w:space="0" w:color="auto"/>
        <w:bottom w:val="none" w:sz="0" w:space="0" w:color="auto"/>
        <w:right w:val="none" w:sz="0" w:space="0" w:color="auto"/>
      </w:divBdr>
    </w:div>
    <w:div w:id="1756240687">
      <w:marLeft w:val="0"/>
      <w:marRight w:val="0"/>
      <w:marTop w:val="0"/>
      <w:marBottom w:val="0"/>
      <w:divBdr>
        <w:top w:val="none" w:sz="0" w:space="0" w:color="auto"/>
        <w:left w:val="none" w:sz="0" w:space="0" w:color="auto"/>
        <w:bottom w:val="none" w:sz="0" w:space="0" w:color="auto"/>
        <w:right w:val="none" w:sz="0" w:space="0" w:color="auto"/>
      </w:divBdr>
    </w:div>
    <w:div w:id="1756240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CF522-F8A7-4A8A-99C4-F805B43F2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12181</Words>
  <Characters>6944</Characters>
  <Application>Microsoft Office Word</Application>
  <DocSecurity>0</DocSecurity>
  <Lines>57</Lines>
  <Paragraphs>38</Paragraphs>
  <ScaleCrop>false</ScaleCrop>
  <Company/>
  <LinksUpToDate>false</LinksUpToDate>
  <CharactersWithSpaces>19087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Zagumennova</dc:creator>
  <cp:lastModifiedBy>User</cp:lastModifiedBy>
  <cp:revision>2</cp:revision>
  <cp:lastPrinted>2019-12-03T12:56:00Z</cp:lastPrinted>
  <dcterms:created xsi:type="dcterms:W3CDTF">2020-06-15T07:42:00Z</dcterms:created>
  <dcterms:modified xsi:type="dcterms:W3CDTF">2020-06-15T07:42:00Z</dcterms:modified>
</cp:coreProperties>
</file>