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E93" w:rsidRPr="008936EE" w:rsidRDefault="009C2E93" w:rsidP="00547E63">
      <w:pPr>
        <w:spacing w:after="0" w:line="240" w:lineRule="auto"/>
        <w:ind w:firstLine="567"/>
        <w:jc w:val="center"/>
        <w:rPr>
          <w:rFonts w:ascii="Times New Roman" w:hAnsi="Times New Roman"/>
          <w:b/>
          <w:sz w:val="27"/>
          <w:szCs w:val="27"/>
        </w:rPr>
      </w:pPr>
      <w:bookmarkStart w:id="0" w:name="_GoBack"/>
      <w:bookmarkEnd w:id="0"/>
      <w:r w:rsidRPr="008936EE">
        <w:rPr>
          <w:rFonts w:ascii="Times New Roman" w:hAnsi="Times New Roman"/>
          <w:b/>
          <w:sz w:val="27"/>
          <w:szCs w:val="27"/>
        </w:rPr>
        <w:t>Пояснювальна записка</w:t>
      </w:r>
    </w:p>
    <w:p w:rsidR="009C2E93" w:rsidRPr="008936EE" w:rsidRDefault="009C2E93" w:rsidP="00547E63">
      <w:pPr>
        <w:shd w:val="clear" w:color="auto" w:fill="FFFFFF"/>
        <w:spacing w:after="0" w:line="240" w:lineRule="auto"/>
        <w:ind w:firstLine="567"/>
        <w:jc w:val="center"/>
        <w:textAlignment w:val="baseline"/>
        <w:rPr>
          <w:rFonts w:ascii="Times New Roman" w:hAnsi="Times New Roman"/>
          <w:b/>
          <w:sz w:val="27"/>
          <w:szCs w:val="27"/>
        </w:rPr>
      </w:pPr>
      <w:r w:rsidRPr="008936EE">
        <w:rPr>
          <w:rFonts w:ascii="Times New Roman" w:hAnsi="Times New Roman"/>
          <w:b/>
          <w:sz w:val="27"/>
          <w:szCs w:val="27"/>
        </w:rPr>
        <w:t xml:space="preserve">до проекту Закону України </w:t>
      </w:r>
    </w:p>
    <w:p w:rsidR="009C2E93" w:rsidRPr="008936EE" w:rsidRDefault="009C2E93" w:rsidP="00547E63">
      <w:pPr>
        <w:shd w:val="clear" w:color="auto" w:fill="FFFFFF"/>
        <w:spacing w:after="0" w:line="240" w:lineRule="auto"/>
        <w:ind w:firstLine="567"/>
        <w:jc w:val="center"/>
        <w:textAlignment w:val="baseline"/>
        <w:rPr>
          <w:rFonts w:ascii="Times New Roman" w:hAnsi="Times New Roman"/>
          <w:b/>
          <w:bCs/>
          <w:sz w:val="27"/>
          <w:szCs w:val="27"/>
          <w:bdr w:val="none" w:sz="0" w:space="0" w:color="auto" w:frame="1"/>
          <w:lang w:eastAsia="uk-UA"/>
        </w:rPr>
      </w:pPr>
      <w:r w:rsidRPr="008936EE">
        <w:rPr>
          <w:rFonts w:ascii="Times New Roman" w:hAnsi="Times New Roman"/>
          <w:b/>
          <w:sz w:val="27"/>
          <w:szCs w:val="27"/>
        </w:rPr>
        <w:t>«</w:t>
      </w:r>
      <w:r w:rsidR="001F6986" w:rsidRPr="008936EE">
        <w:rPr>
          <w:rFonts w:ascii="Times New Roman" w:hAnsi="Times New Roman"/>
          <w:b/>
          <w:sz w:val="27"/>
          <w:szCs w:val="27"/>
        </w:rPr>
        <w:t>Про внесення змін до Бюджетного кодексу України щодо запровадження механізму надання державних гарантій на портфельній основі та врегулювання порядку сплати податкового боргу</w:t>
      </w:r>
      <w:r w:rsidRPr="008936EE">
        <w:rPr>
          <w:rFonts w:ascii="Times New Roman" w:hAnsi="Times New Roman"/>
          <w:b/>
          <w:bCs/>
          <w:sz w:val="27"/>
          <w:szCs w:val="27"/>
          <w:bdr w:val="none" w:sz="0" w:space="0" w:color="auto" w:frame="1"/>
          <w:lang w:eastAsia="uk-UA"/>
        </w:rPr>
        <w:t>»</w:t>
      </w:r>
    </w:p>
    <w:p w:rsidR="009C2E93" w:rsidRPr="008936EE" w:rsidRDefault="009C2E93" w:rsidP="00547E63">
      <w:pPr>
        <w:shd w:val="clear" w:color="auto" w:fill="FFFFFF"/>
        <w:spacing w:after="0" w:line="240" w:lineRule="auto"/>
        <w:ind w:firstLine="567"/>
        <w:jc w:val="center"/>
        <w:textAlignment w:val="baseline"/>
        <w:rPr>
          <w:rFonts w:ascii="Times New Roman" w:hAnsi="Times New Roman"/>
          <w:b/>
          <w:bCs/>
          <w:sz w:val="27"/>
          <w:szCs w:val="27"/>
          <w:bdr w:val="none" w:sz="0" w:space="0" w:color="auto" w:frame="1"/>
          <w:lang w:eastAsia="uk-UA"/>
        </w:rPr>
      </w:pPr>
    </w:p>
    <w:p w:rsidR="009C2E93" w:rsidRPr="008936EE" w:rsidRDefault="009C2E93" w:rsidP="00547E63">
      <w:pPr>
        <w:pStyle w:val="a8"/>
        <w:numPr>
          <w:ilvl w:val="0"/>
          <w:numId w:val="2"/>
        </w:numPr>
        <w:shd w:val="clear" w:color="auto" w:fill="FFFFFF"/>
        <w:spacing w:after="0" w:line="240" w:lineRule="auto"/>
        <w:ind w:right="-142"/>
        <w:jc w:val="both"/>
        <w:textAlignment w:val="baseline"/>
        <w:rPr>
          <w:rFonts w:ascii="Times New Roman" w:hAnsi="Times New Roman"/>
          <w:b/>
          <w:sz w:val="27"/>
          <w:szCs w:val="27"/>
        </w:rPr>
      </w:pPr>
      <w:r w:rsidRPr="008936EE">
        <w:rPr>
          <w:rFonts w:ascii="Times New Roman" w:hAnsi="Times New Roman"/>
          <w:b/>
          <w:sz w:val="27"/>
          <w:szCs w:val="27"/>
        </w:rPr>
        <w:t>Резюме</w:t>
      </w:r>
    </w:p>
    <w:p w:rsidR="009C2E93" w:rsidRPr="008936EE" w:rsidRDefault="009C2E93" w:rsidP="00547E63">
      <w:pPr>
        <w:shd w:val="clear" w:color="auto" w:fill="FFFFFF"/>
        <w:spacing w:after="0" w:line="240" w:lineRule="auto"/>
        <w:ind w:firstLine="567"/>
        <w:jc w:val="both"/>
        <w:textAlignment w:val="baseline"/>
        <w:rPr>
          <w:rFonts w:ascii="Times New Roman" w:hAnsi="Times New Roman"/>
          <w:sz w:val="27"/>
          <w:szCs w:val="27"/>
        </w:rPr>
      </w:pPr>
      <w:r w:rsidRPr="008936EE">
        <w:rPr>
          <w:rFonts w:ascii="Times New Roman" w:hAnsi="Times New Roman"/>
          <w:sz w:val="27"/>
          <w:szCs w:val="27"/>
        </w:rPr>
        <w:t xml:space="preserve">Проект Закону спрямовано на забезпечення доступу до </w:t>
      </w:r>
      <w:r w:rsidR="00566180" w:rsidRPr="008936EE">
        <w:rPr>
          <w:rFonts w:ascii="Times New Roman" w:hAnsi="Times New Roman"/>
          <w:sz w:val="27"/>
          <w:szCs w:val="27"/>
        </w:rPr>
        <w:t>залучення фінансування</w:t>
      </w:r>
      <w:r w:rsidRPr="008936EE">
        <w:rPr>
          <w:rFonts w:ascii="Times New Roman" w:hAnsi="Times New Roman"/>
          <w:sz w:val="27"/>
          <w:szCs w:val="27"/>
        </w:rPr>
        <w:t xml:space="preserve"> суб’єктам</w:t>
      </w:r>
      <w:r w:rsidR="00566180" w:rsidRPr="008936EE">
        <w:rPr>
          <w:rFonts w:ascii="Times New Roman" w:hAnsi="Times New Roman"/>
          <w:sz w:val="27"/>
          <w:szCs w:val="27"/>
        </w:rPr>
        <w:t>и</w:t>
      </w:r>
      <w:r w:rsidR="004F5D53" w:rsidRPr="008936EE">
        <w:rPr>
          <w:rFonts w:ascii="Times New Roman" w:hAnsi="Times New Roman"/>
          <w:sz w:val="27"/>
          <w:szCs w:val="27"/>
        </w:rPr>
        <w:t xml:space="preserve"> </w:t>
      </w:r>
      <w:r w:rsidRPr="008936EE">
        <w:rPr>
          <w:rFonts w:ascii="Times New Roman" w:hAnsi="Times New Roman"/>
          <w:sz w:val="27"/>
          <w:szCs w:val="27"/>
        </w:rPr>
        <w:t>господарювання</w:t>
      </w:r>
      <w:r w:rsidR="00566180" w:rsidRPr="008936EE">
        <w:rPr>
          <w:rFonts w:ascii="Times New Roman" w:hAnsi="Times New Roman"/>
          <w:sz w:val="27"/>
          <w:szCs w:val="27"/>
        </w:rPr>
        <w:t xml:space="preserve"> мікро, малого та середнього сектору економіки – резидент</w:t>
      </w:r>
      <w:r w:rsidR="00922251" w:rsidRPr="008936EE">
        <w:rPr>
          <w:rFonts w:ascii="Times New Roman" w:hAnsi="Times New Roman"/>
          <w:sz w:val="27"/>
          <w:szCs w:val="27"/>
        </w:rPr>
        <w:t>ами</w:t>
      </w:r>
      <w:r w:rsidR="00566180" w:rsidRPr="008936EE">
        <w:rPr>
          <w:rFonts w:ascii="Times New Roman" w:hAnsi="Times New Roman"/>
          <w:sz w:val="27"/>
          <w:szCs w:val="27"/>
        </w:rPr>
        <w:t xml:space="preserve"> України</w:t>
      </w:r>
      <w:r w:rsidRPr="008936EE">
        <w:rPr>
          <w:rFonts w:ascii="Times New Roman" w:hAnsi="Times New Roman"/>
          <w:sz w:val="27"/>
          <w:szCs w:val="27"/>
        </w:rPr>
        <w:t xml:space="preserve">, </w:t>
      </w:r>
      <w:r w:rsidR="004F5D53" w:rsidRPr="008936EE">
        <w:rPr>
          <w:rFonts w:ascii="Times New Roman" w:hAnsi="Times New Roman"/>
          <w:sz w:val="27"/>
          <w:szCs w:val="27"/>
        </w:rPr>
        <w:t xml:space="preserve">у тому числі, </w:t>
      </w:r>
      <w:r w:rsidRPr="008936EE">
        <w:rPr>
          <w:rFonts w:ascii="Times New Roman" w:hAnsi="Times New Roman"/>
          <w:sz w:val="27"/>
          <w:szCs w:val="27"/>
        </w:rPr>
        <w:t>які зазнали значних фінансових втрат внаслідок</w:t>
      </w:r>
      <w:r w:rsidR="004F5D53" w:rsidRPr="008936EE">
        <w:rPr>
          <w:rFonts w:ascii="Times New Roman" w:hAnsi="Times New Roman"/>
          <w:sz w:val="27"/>
          <w:szCs w:val="27"/>
        </w:rPr>
        <w:t xml:space="preserve"> запровадження карантинних обмежень та подолання їх наслідків, викликаних респіраторною хворобою COVID-19, спричиненою коронавірусом SARS-CoV-2</w:t>
      </w:r>
      <w:r w:rsidR="00566180" w:rsidRPr="008936EE">
        <w:rPr>
          <w:rFonts w:ascii="Times New Roman" w:hAnsi="Times New Roman"/>
          <w:sz w:val="27"/>
          <w:szCs w:val="27"/>
        </w:rPr>
        <w:t>, а також на створення законодавчих підстав платникам податків, які здійснюють свою діяльність на підконтрольній території України, здійснити погашення податкового боргу, який виник на тимчасово окупованій території АР Крим та м. Севастополя до анексії цих територій.</w:t>
      </w:r>
    </w:p>
    <w:p w:rsidR="009C2E93" w:rsidRPr="008936EE" w:rsidRDefault="009C2E93" w:rsidP="00547E63">
      <w:pPr>
        <w:spacing w:after="0" w:line="240" w:lineRule="auto"/>
        <w:ind w:firstLine="567"/>
        <w:jc w:val="both"/>
        <w:rPr>
          <w:rFonts w:ascii="Times New Roman" w:hAnsi="Times New Roman"/>
          <w:sz w:val="27"/>
          <w:szCs w:val="27"/>
        </w:rPr>
      </w:pPr>
    </w:p>
    <w:p w:rsidR="009C2E93" w:rsidRPr="008936EE" w:rsidRDefault="009C2E93" w:rsidP="00547E63">
      <w:pPr>
        <w:pStyle w:val="a8"/>
        <w:numPr>
          <w:ilvl w:val="0"/>
          <w:numId w:val="2"/>
        </w:numPr>
        <w:tabs>
          <w:tab w:val="left" w:pos="851"/>
        </w:tabs>
        <w:spacing w:after="0" w:line="240" w:lineRule="auto"/>
        <w:jc w:val="both"/>
        <w:rPr>
          <w:rFonts w:ascii="Times New Roman" w:hAnsi="Times New Roman"/>
          <w:b/>
          <w:sz w:val="27"/>
          <w:szCs w:val="27"/>
        </w:rPr>
      </w:pPr>
      <w:r w:rsidRPr="008936EE">
        <w:rPr>
          <w:rFonts w:ascii="Times New Roman" w:hAnsi="Times New Roman"/>
          <w:b/>
          <w:sz w:val="27"/>
          <w:szCs w:val="27"/>
        </w:rPr>
        <w:t>Проблема, яка потребує розв’язання</w:t>
      </w:r>
    </w:p>
    <w:p w:rsidR="00566180" w:rsidRPr="008936EE" w:rsidRDefault="00566180" w:rsidP="00547E63">
      <w:pPr>
        <w:shd w:val="clear" w:color="auto" w:fill="FFFFFF"/>
        <w:spacing w:after="0" w:line="240" w:lineRule="auto"/>
        <w:ind w:firstLine="567"/>
        <w:jc w:val="both"/>
        <w:textAlignment w:val="baseline"/>
        <w:rPr>
          <w:rFonts w:ascii="Times New Roman" w:hAnsi="Times New Roman"/>
          <w:bCs/>
          <w:spacing w:val="-2"/>
          <w:sz w:val="27"/>
          <w:szCs w:val="27"/>
        </w:rPr>
      </w:pPr>
      <w:r w:rsidRPr="008936EE">
        <w:rPr>
          <w:rFonts w:ascii="Times New Roman" w:hAnsi="Times New Roman"/>
          <w:sz w:val="27"/>
          <w:szCs w:val="27"/>
        </w:rPr>
        <w:t>Метою законопро</w:t>
      </w:r>
      <w:r w:rsidR="00547E63" w:rsidRPr="008936EE">
        <w:rPr>
          <w:rFonts w:ascii="Times New Roman" w:hAnsi="Times New Roman"/>
          <w:sz w:val="27"/>
          <w:szCs w:val="27"/>
        </w:rPr>
        <w:t>е</w:t>
      </w:r>
      <w:r w:rsidRPr="008936EE">
        <w:rPr>
          <w:rFonts w:ascii="Times New Roman" w:hAnsi="Times New Roman"/>
          <w:sz w:val="27"/>
          <w:szCs w:val="27"/>
        </w:rPr>
        <w:t>кту є запровадження механізму державної підтримки суб’єктів господарювання мікро, малого та середнього</w:t>
      </w:r>
      <w:r w:rsidRPr="008936EE" w:rsidDel="0003035D">
        <w:rPr>
          <w:rFonts w:ascii="Times New Roman" w:hAnsi="Times New Roman"/>
          <w:sz w:val="27"/>
          <w:szCs w:val="27"/>
        </w:rPr>
        <w:t xml:space="preserve"> </w:t>
      </w:r>
      <w:r w:rsidRPr="008936EE">
        <w:rPr>
          <w:rFonts w:ascii="Times New Roman" w:hAnsi="Times New Roman"/>
          <w:sz w:val="27"/>
          <w:szCs w:val="27"/>
        </w:rPr>
        <w:t>сектору економіки – резидентів України</w:t>
      </w:r>
      <w:r w:rsidRPr="008936EE">
        <w:rPr>
          <w:rFonts w:ascii="Times New Roman" w:hAnsi="Times New Roman"/>
          <w:bCs/>
          <w:spacing w:val="-2"/>
          <w:sz w:val="27"/>
          <w:szCs w:val="27"/>
        </w:rPr>
        <w:t xml:space="preserve"> шляхом надання державних гарантій для забезпечення часткового виконання боргових зобов’язань за портфелем кредитів банків-кредиторів, наданих таким суб’єктам господарювання.</w:t>
      </w:r>
    </w:p>
    <w:p w:rsidR="006A78A5" w:rsidRPr="008936EE" w:rsidRDefault="009C2E93" w:rsidP="00547E63">
      <w:pPr>
        <w:spacing w:after="0" w:line="240" w:lineRule="auto"/>
        <w:ind w:firstLine="567"/>
        <w:jc w:val="both"/>
        <w:rPr>
          <w:rFonts w:ascii="Times New Roman" w:hAnsi="Times New Roman"/>
          <w:sz w:val="27"/>
          <w:szCs w:val="27"/>
        </w:rPr>
      </w:pPr>
      <w:r w:rsidRPr="008936EE">
        <w:rPr>
          <w:rFonts w:ascii="Times New Roman" w:hAnsi="Times New Roman"/>
          <w:sz w:val="27"/>
          <w:szCs w:val="27"/>
        </w:rPr>
        <w:t>Прийняття проекту Закону надасть можливість</w:t>
      </w:r>
      <w:r w:rsidR="00547E63" w:rsidRPr="008936EE">
        <w:rPr>
          <w:rFonts w:ascii="Times New Roman" w:hAnsi="Times New Roman"/>
          <w:sz w:val="27"/>
          <w:szCs w:val="27"/>
        </w:rPr>
        <w:t>,</w:t>
      </w:r>
      <w:r w:rsidRPr="008936EE">
        <w:rPr>
          <w:rFonts w:ascii="Times New Roman" w:hAnsi="Times New Roman"/>
          <w:sz w:val="27"/>
          <w:szCs w:val="27"/>
        </w:rPr>
        <w:t xml:space="preserve"> </w:t>
      </w:r>
      <w:r w:rsidR="006A78A5" w:rsidRPr="008936EE">
        <w:rPr>
          <w:rFonts w:ascii="Times New Roman" w:hAnsi="Times New Roman"/>
          <w:sz w:val="27"/>
          <w:szCs w:val="27"/>
        </w:rPr>
        <w:t xml:space="preserve">з одного боку, підприємцям залучити фінансування, яке в кілька разів перевищує наявну в них заставу, з іншого боку, дає змогу банкам-кредиторам розділити з державою ризики, пов’язані з таким кредитуванням, що спонукатиме кредиторів виважено та добросовісно оцінювати кредитні ризики при наданні кредитів, при цьому стимулюючи розвиток цього сегменту бізнесу. Водночас такий механізм передбачає відсутність прямих взаємовідносин між гарантом та позичальником, що з одного боку спрощує відповідні бюрократичні процедури, нівелює корупційні ризики та </w:t>
      </w:r>
      <w:r w:rsidR="00547E63" w:rsidRPr="008936EE">
        <w:rPr>
          <w:rFonts w:ascii="Times New Roman" w:hAnsi="Times New Roman"/>
          <w:sz w:val="27"/>
          <w:szCs w:val="27"/>
        </w:rPr>
        <w:t xml:space="preserve">можливі зловживання, а з іншого </w:t>
      </w:r>
      <w:r w:rsidR="006A78A5" w:rsidRPr="008936EE">
        <w:rPr>
          <w:rFonts w:ascii="Times New Roman" w:hAnsi="Times New Roman"/>
          <w:sz w:val="27"/>
          <w:szCs w:val="27"/>
        </w:rPr>
        <w:t xml:space="preserve">покладає на банки-кредитори додаткові вимоги, в тому числі щодо оцінки позичальників, їх діяльності та фінансових показників, стягнення з них простроченої заборгованості, в тому числі в частині заборгованості перед державою. Невідшкодування позичальником заборгованості перед державою фактично зменшуватиме майбутню суму, яку держава зможе сплатити банку-кредитору за його сформованим портфелем кредитів суб’єктам господарювання </w:t>
      </w:r>
      <w:r w:rsidR="0003035D" w:rsidRPr="008936EE">
        <w:rPr>
          <w:rFonts w:ascii="Times New Roman" w:hAnsi="Times New Roman"/>
          <w:sz w:val="27"/>
          <w:szCs w:val="27"/>
        </w:rPr>
        <w:t>мікро, малого та/або середнього</w:t>
      </w:r>
      <w:r w:rsidR="0003035D" w:rsidRPr="008936EE" w:rsidDel="0003035D">
        <w:rPr>
          <w:rFonts w:ascii="Times New Roman" w:hAnsi="Times New Roman"/>
          <w:sz w:val="27"/>
          <w:szCs w:val="27"/>
        </w:rPr>
        <w:t xml:space="preserve"> </w:t>
      </w:r>
      <w:r w:rsidR="006A78A5" w:rsidRPr="008936EE">
        <w:rPr>
          <w:rFonts w:ascii="Times New Roman" w:hAnsi="Times New Roman"/>
          <w:sz w:val="27"/>
          <w:szCs w:val="27"/>
        </w:rPr>
        <w:t>сектору економіки.</w:t>
      </w:r>
    </w:p>
    <w:p w:rsidR="00F9267E" w:rsidRPr="00C43D25" w:rsidRDefault="00F9267E" w:rsidP="00547E63">
      <w:pPr>
        <w:spacing w:after="0" w:line="240" w:lineRule="auto"/>
        <w:ind w:firstLine="567"/>
        <w:jc w:val="both"/>
        <w:rPr>
          <w:rFonts w:ascii="Times New Roman" w:hAnsi="Times New Roman"/>
          <w:sz w:val="27"/>
          <w:szCs w:val="27"/>
        </w:rPr>
      </w:pPr>
      <w:r w:rsidRPr="00C43D25">
        <w:rPr>
          <w:rFonts w:ascii="Times New Roman" w:hAnsi="Times New Roman"/>
          <w:sz w:val="27"/>
          <w:szCs w:val="27"/>
        </w:rPr>
        <w:t>Наразі в Україні існує досвід впровадження інструменту кредитних гарантій на портфельній основі. Вперше такий інструмент запрацював на початку 2018 року в рамках ініціативи Європейського Союзу "EU4Business", що впроваджується групою Європейського інвестиційного банку через визначені українські банки (Райффайзен Банк Аваль, Прокредит Банк, Ощадбанк, Укргазбанк). Крім того, в рамках Програми "Доступні кредити 5-7-9%", що реалізується Фондом розвитку підприємництва за рахунок коштів державного бюджету надається аналогічна підтримка українським МСП. Слід зазнач</w:t>
      </w:r>
      <w:r w:rsidR="00A57215" w:rsidRPr="00C43D25">
        <w:rPr>
          <w:rFonts w:ascii="Times New Roman" w:hAnsi="Times New Roman"/>
          <w:sz w:val="27"/>
          <w:szCs w:val="27"/>
          <w:lang w:val="en-US"/>
        </w:rPr>
        <w:t>b</w:t>
      </w:r>
      <w:r w:rsidRPr="00C43D25">
        <w:rPr>
          <w:rFonts w:ascii="Times New Roman" w:hAnsi="Times New Roman"/>
          <w:sz w:val="27"/>
          <w:szCs w:val="27"/>
        </w:rPr>
        <w:t xml:space="preserve">ти, що за рахунок кількісних </w:t>
      </w:r>
      <w:r w:rsidRPr="00C43D25">
        <w:rPr>
          <w:rFonts w:ascii="Times New Roman" w:hAnsi="Times New Roman"/>
          <w:sz w:val="27"/>
          <w:szCs w:val="27"/>
        </w:rPr>
        <w:lastRenderedPageBreak/>
        <w:t>і якісних вимог гаранта до банку-кредитора є можливість контролювати розмір проблемних кредитів у портфелі, що гарантується. Завдяки цьому частина ризиків перекладається на банк-кредитор, що, відповідно, суттєво знижує ризики гаранта.</w:t>
      </w:r>
    </w:p>
    <w:p w:rsidR="00F9267E" w:rsidRPr="00C43D25" w:rsidRDefault="00F9267E" w:rsidP="00547E63">
      <w:pPr>
        <w:spacing w:after="0" w:line="240" w:lineRule="auto"/>
        <w:ind w:firstLine="567"/>
        <w:jc w:val="both"/>
        <w:rPr>
          <w:rFonts w:ascii="Times New Roman" w:hAnsi="Times New Roman"/>
          <w:sz w:val="27"/>
          <w:szCs w:val="27"/>
        </w:rPr>
      </w:pPr>
      <w:r w:rsidRPr="00C43D25">
        <w:rPr>
          <w:rFonts w:ascii="Times New Roman" w:hAnsi="Times New Roman"/>
          <w:sz w:val="27"/>
          <w:szCs w:val="27"/>
        </w:rPr>
        <w:t xml:space="preserve">Разом з тим, </w:t>
      </w:r>
      <w:r w:rsidR="0078755A" w:rsidRPr="00C43D25">
        <w:rPr>
          <w:rFonts w:ascii="Times New Roman" w:hAnsi="Times New Roman"/>
          <w:sz w:val="27"/>
          <w:szCs w:val="27"/>
        </w:rPr>
        <w:t xml:space="preserve">розширення </w:t>
      </w:r>
      <w:r w:rsidRPr="00C43D25">
        <w:rPr>
          <w:rFonts w:ascii="Times New Roman" w:hAnsi="Times New Roman"/>
          <w:sz w:val="27"/>
          <w:szCs w:val="27"/>
        </w:rPr>
        <w:t>інструмент</w:t>
      </w:r>
      <w:r w:rsidR="0078755A" w:rsidRPr="00C43D25">
        <w:rPr>
          <w:rFonts w:ascii="Times New Roman" w:hAnsi="Times New Roman"/>
          <w:sz w:val="27"/>
          <w:szCs w:val="27"/>
        </w:rPr>
        <w:t>у</w:t>
      </w:r>
      <w:r w:rsidRPr="00C43D25">
        <w:rPr>
          <w:rFonts w:ascii="Times New Roman" w:hAnsi="Times New Roman"/>
          <w:sz w:val="27"/>
          <w:szCs w:val="27"/>
        </w:rPr>
        <w:t xml:space="preserve"> кредитних гарантій на портфельній основі потребує збільшення видатків бюджету на поповнення статутного капіталу Фонду</w:t>
      </w:r>
      <w:r w:rsidR="0078755A" w:rsidRPr="00C43D25">
        <w:rPr>
          <w:rFonts w:ascii="Times New Roman" w:hAnsi="Times New Roman"/>
          <w:sz w:val="27"/>
          <w:szCs w:val="27"/>
        </w:rPr>
        <w:t xml:space="preserve"> розвитку підприємництва.</w:t>
      </w:r>
    </w:p>
    <w:p w:rsidR="00F9267E" w:rsidRPr="008936EE" w:rsidRDefault="00F9267E" w:rsidP="00547E63">
      <w:pPr>
        <w:spacing w:after="0" w:line="240" w:lineRule="auto"/>
        <w:ind w:firstLine="567"/>
        <w:jc w:val="both"/>
        <w:rPr>
          <w:rFonts w:ascii="Times New Roman" w:hAnsi="Times New Roman"/>
          <w:sz w:val="27"/>
          <w:szCs w:val="27"/>
        </w:rPr>
      </w:pPr>
      <w:r w:rsidRPr="00C43D25">
        <w:rPr>
          <w:rFonts w:ascii="Times New Roman" w:hAnsi="Times New Roman"/>
          <w:sz w:val="27"/>
          <w:szCs w:val="27"/>
        </w:rPr>
        <w:t xml:space="preserve">Запровадження державних гарантій на портфельній основі </w:t>
      </w:r>
      <w:r w:rsidR="0078755A" w:rsidRPr="00C43D25">
        <w:rPr>
          <w:rFonts w:ascii="Times New Roman" w:hAnsi="Times New Roman"/>
          <w:sz w:val="27"/>
          <w:szCs w:val="27"/>
        </w:rPr>
        <w:t>дозволить запровадити таку підтримку МСП без необхідності додаткових видатків держбюджету.</w:t>
      </w:r>
    </w:p>
    <w:p w:rsidR="00566180" w:rsidRPr="008936EE" w:rsidRDefault="00566180" w:rsidP="00547E63">
      <w:pPr>
        <w:spacing w:after="0" w:line="240" w:lineRule="auto"/>
        <w:ind w:firstLine="567"/>
        <w:jc w:val="both"/>
        <w:rPr>
          <w:rFonts w:ascii="Times New Roman" w:hAnsi="Times New Roman"/>
          <w:sz w:val="27"/>
          <w:szCs w:val="27"/>
        </w:rPr>
      </w:pPr>
      <w:r w:rsidRPr="008936EE">
        <w:rPr>
          <w:rFonts w:ascii="Times New Roman" w:hAnsi="Times New Roman"/>
          <w:sz w:val="27"/>
          <w:szCs w:val="27"/>
        </w:rPr>
        <w:t xml:space="preserve">Крім цього, </w:t>
      </w:r>
      <w:r w:rsidR="00D33B82" w:rsidRPr="008936EE">
        <w:rPr>
          <w:rFonts w:ascii="Times New Roman" w:hAnsi="Times New Roman"/>
          <w:sz w:val="27"/>
          <w:szCs w:val="27"/>
        </w:rPr>
        <w:t>на сьогодні</w:t>
      </w:r>
      <w:r w:rsidRPr="008936EE">
        <w:rPr>
          <w:rFonts w:ascii="Times New Roman" w:hAnsi="Times New Roman"/>
          <w:sz w:val="27"/>
          <w:szCs w:val="27"/>
        </w:rPr>
        <w:t xml:space="preserve"> до ДПС надходять численні звернення платників податків, які здійснюють свою діяльність на підконтрольній території України та мають податковий борг на тимчасово окупованій території АР Крим та м. Севастополя і позбавлені можливості його погашення</w:t>
      </w:r>
      <w:r w:rsidR="00D147B6" w:rsidRPr="008936EE">
        <w:rPr>
          <w:rFonts w:ascii="Times New Roman" w:hAnsi="Times New Roman"/>
          <w:sz w:val="27"/>
          <w:szCs w:val="27"/>
        </w:rPr>
        <w:t xml:space="preserve"> </w:t>
      </w:r>
      <w:r w:rsidRPr="008936EE">
        <w:rPr>
          <w:rFonts w:ascii="Times New Roman" w:hAnsi="Times New Roman"/>
          <w:sz w:val="27"/>
          <w:szCs w:val="27"/>
        </w:rPr>
        <w:t>(що, у свою чергу, унеможливлює отримання статусу платника єдиного податку, зняття з обліку у зв’язку з проведенням процедури припинення, звільнення майна з податкової застави, участь у процедурах публічних закупівель тощо).</w:t>
      </w:r>
    </w:p>
    <w:p w:rsidR="00D33B82" w:rsidRPr="008936EE" w:rsidRDefault="00D33B82" w:rsidP="00547E63">
      <w:pPr>
        <w:spacing w:after="0" w:line="240" w:lineRule="auto"/>
        <w:ind w:firstLine="567"/>
        <w:jc w:val="both"/>
        <w:rPr>
          <w:rFonts w:ascii="Times New Roman" w:hAnsi="Times New Roman"/>
          <w:sz w:val="27"/>
          <w:szCs w:val="27"/>
        </w:rPr>
      </w:pPr>
      <w:r w:rsidRPr="008936EE">
        <w:rPr>
          <w:rFonts w:ascii="Times New Roman" w:hAnsi="Times New Roman"/>
          <w:sz w:val="27"/>
          <w:szCs w:val="27"/>
        </w:rPr>
        <w:t>За даними інформаційної системи органів ДПС (така інформація зберігається та опрацьовується в окремому (позабалансовому) порядку), станом на 01.04.2019 на обліку в контролюючих органах знаходиться 2,1 тис. платників податків юридичних осіб та самозайнятих фізичних осіб на підконтрольній території України, які мають податковий борг на тимчасово окупованій території АР Крим та м. Севастополь на загальну суму 156,8 млн грн (загальна сума податкового боргу на такій території становить 2 516,8 млн гр</w:t>
      </w:r>
      <w:r w:rsidR="00547E63" w:rsidRPr="008936EE">
        <w:rPr>
          <w:rFonts w:ascii="Times New Roman" w:hAnsi="Times New Roman"/>
          <w:sz w:val="27"/>
          <w:szCs w:val="27"/>
        </w:rPr>
        <w:t>ивень</w:t>
      </w:r>
      <w:r w:rsidRPr="008936EE">
        <w:rPr>
          <w:rFonts w:ascii="Times New Roman" w:hAnsi="Times New Roman"/>
          <w:sz w:val="27"/>
          <w:szCs w:val="27"/>
        </w:rPr>
        <w:t>).</w:t>
      </w:r>
    </w:p>
    <w:p w:rsidR="00D33B82" w:rsidRPr="008936EE" w:rsidRDefault="00D33B82" w:rsidP="00547E63">
      <w:pPr>
        <w:spacing w:after="0" w:line="240" w:lineRule="auto"/>
        <w:ind w:firstLine="567"/>
        <w:jc w:val="both"/>
        <w:rPr>
          <w:rFonts w:ascii="Times New Roman" w:hAnsi="Times New Roman"/>
          <w:sz w:val="27"/>
          <w:szCs w:val="27"/>
        </w:rPr>
      </w:pPr>
      <w:r w:rsidRPr="008936EE">
        <w:rPr>
          <w:rFonts w:ascii="Times New Roman" w:hAnsi="Times New Roman"/>
          <w:sz w:val="27"/>
          <w:szCs w:val="27"/>
        </w:rPr>
        <w:t>Згідно з підпунктом 1 пункту 12.3 статті 12 Закону України від 12.08.2014 № 1636-VII «Про створення вільної економічної зони «Крим» та про особливості здійснення економічної діяльності на тимчасово окупованій території України» (далі – Закон № 1636) під час тимчасової окупації загальнодержавні податки і збори, визначені статтею 9 Податкового кодексу України, статтею 271 Митного кодексу України, єдиний внесок, встановлений Законом України «Про збір та облік єдиного внеску на загальнообов’язкове державне соціальне страхування»</w:t>
      </w:r>
      <w:r w:rsidR="00547E63" w:rsidRPr="008936EE">
        <w:rPr>
          <w:rFonts w:ascii="Times New Roman" w:hAnsi="Times New Roman"/>
          <w:sz w:val="27"/>
          <w:szCs w:val="27"/>
        </w:rPr>
        <w:t>,</w:t>
      </w:r>
      <w:r w:rsidRPr="008936EE">
        <w:rPr>
          <w:rFonts w:ascii="Times New Roman" w:hAnsi="Times New Roman"/>
          <w:sz w:val="27"/>
          <w:szCs w:val="27"/>
        </w:rPr>
        <w:t xml:space="preserve"> та збір на обов’язкове державне пенсійне страхування, справляння якого здійснюється відповідно до Закону України «Про збір на обов’язкове державне пенсійне страхування», не справляються з доходів, отриманих юридичними особами (їх відокремленими підрозділами) та фізичними особами на тимчасово окупованій території, операцій та/або з інших об’єктів оподаткування (в тому числі об’єктів, пов’язаних з оподаткуванням) на тимчасово окупованій території.</w:t>
      </w:r>
    </w:p>
    <w:p w:rsidR="00D33B82" w:rsidRPr="008936EE" w:rsidRDefault="00D33B82" w:rsidP="00547E63">
      <w:pPr>
        <w:spacing w:after="0" w:line="240" w:lineRule="auto"/>
        <w:ind w:firstLine="567"/>
        <w:jc w:val="both"/>
        <w:rPr>
          <w:rFonts w:ascii="Times New Roman" w:hAnsi="Times New Roman"/>
          <w:sz w:val="27"/>
          <w:szCs w:val="27"/>
        </w:rPr>
      </w:pPr>
      <w:r w:rsidRPr="008936EE">
        <w:rPr>
          <w:rFonts w:ascii="Times New Roman" w:hAnsi="Times New Roman"/>
          <w:sz w:val="27"/>
          <w:szCs w:val="27"/>
        </w:rPr>
        <w:t>Також відповідно до підпункту 12 пункту 12.3 статті 12 Закону № 1636 зупиняється застосування до платників податків із місцезнаходженням на території ВЕЗ «Крим» норм статей 59, 60, 87</w:t>
      </w:r>
      <w:r w:rsidR="001C450D" w:rsidRPr="008936EE">
        <w:rPr>
          <w:rFonts w:ascii="Times New Roman" w:hAnsi="Times New Roman"/>
          <w:sz w:val="27"/>
          <w:szCs w:val="27"/>
        </w:rPr>
        <w:t> </w:t>
      </w:r>
      <w:r w:rsidRPr="008936EE">
        <w:rPr>
          <w:rFonts w:ascii="Times New Roman" w:hAnsi="Times New Roman"/>
          <w:sz w:val="27"/>
          <w:szCs w:val="27"/>
        </w:rPr>
        <w:t>–</w:t>
      </w:r>
      <w:r w:rsidR="001C450D" w:rsidRPr="008936EE">
        <w:rPr>
          <w:rFonts w:ascii="Times New Roman" w:hAnsi="Times New Roman"/>
          <w:sz w:val="27"/>
          <w:szCs w:val="27"/>
        </w:rPr>
        <w:t> </w:t>
      </w:r>
      <w:r w:rsidRPr="008936EE">
        <w:rPr>
          <w:rFonts w:ascii="Times New Roman" w:hAnsi="Times New Roman"/>
          <w:sz w:val="27"/>
          <w:szCs w:val="27"/>
        </w:rPr>
        <w:t>101, 124, 126 і 129 Податкового кодексу України. Тобто, здійснення контролюючими органами заходів, спрямованих на погашення податкового боргу платників податків із місцезнаходженням на території ВЕЗ «Крим», зупинено (стосується неможливості списання податкового боргу як безнадійного).</w:t>
      </w:r>
    </w:p>
    <w:p w:rsidR="00D33B82" w:rsidRPr="008936EE" w:rsidRDefault="00D33B82" w:rsidP="00547E63">
      <w:pPr>
        <w:spacing w:after="0" w:line="240" w:lineRule="auto"/>
        <w:ind w:firstLine="567"/>
        <w:jc w:val="both"/>
        <w:rPr>
          <w:rFonts w:ascii="Times New Roman" w:hAnsi="Times New Roman"/>
          <w:sz w:val="27"/>
          <w:szCs w:val="27"/>
        </w:rPr>
      </w:pPr>
      <w:r w:rsidRPr="008936EE">
        <w:rPr>
          <w:rFonts w:ascii="Times New Roman" w:hAnsi="Times New Roman"/>
          <w:sz w:val="27"/>
          <w:szCs w:val="27"/>
        </w:rPr>
        <w:lastRenderedPageBreak/>
        <w:t>Податкова інформація про суми податкового боргу платників податків із місцезнаходженням на території ВЕЗ «Крим» зберігається та опрацьовується в інформаційних базах контролюючих органів в окремому (позабалансовому) порядку.</w:t>
      </w:r>
    </w:p>
    <w:p w:rsidR="00D33B82" w:rsidRPr="008936EE" w:rsidRDefault="001C450D" w:rsidP="00547E63">
      <w:pPr>
        <w:spacing w:after="0" w:line="240" w:lineRule="auto"/>
        <w:ind w:firstLine="567"/>
        <w:jc w:val="both"/>
        <w:rPr>
          <w:rFonts w:ascii="Times New Roman" w:hAnsi="Times New Roman"/>
          <w:sz w:val="27"/>
          <w:szCs w:val="27"/>
        </w:rPr>
      </w:pPr>
      <w:r w:rsidRPr="008936EE">
        <w:rPr>
          <w:rFonts w:ascii="Times New Roman" w:hAnsi="Times New Roman"/>
          <w:sz w:val="27"/>
          <w:szCs w:val="27"/>
        </w:rPr>
        <w:t>Водночас</w:t>
      </w:r>
      <w:r w:rsidR="00D33B82" w:rsidRPr="008936EE">
        <w:rPr>
          <w:rFonts w:ascii="Times New Roman" w:hAnsi="Times New Roman"/>
          <w:sz w:val="27"/>
          <w:szCs w:val="27"/>
        </w:rPr>
        <w:t xml:space="preserve"> щорічно на початок нового бюджетного періоду відповідно до Бюджетного кодексу України, закону про Державний бюджет України, рішень про місцеві бюджети та бюджетної класифікації, затвердженої наказом Міністерства фінансів України</w:t>
      </w:r>
      <w:r w:rsidRPr="008936EE">
        <w:rPr>
          <w:rFonts w:ascii="Times New Roman" w:hAnsi="Times New Roman"/>
          <w:sz w:val="27"/>
          <w:szCs w:val="27"/>
        </w:rPr>
        <w:t xml:space="preserve"> </w:t>
      </w:r>
      <w:r w:rsidR="00D33B82" w:rsidRPr="008936EE">
        <w:rPr>
          <w:rFonts w:ascii="Times New Roman" w:hAnsi="Times New Roman"/>
          <w:sz w:val="27"/>
          <w:szCs w:val="27"/>
        </w:rPr>
        <w:t>від 14.01.2011 № 11, в органах Казначейства відкриваються рахунки за надходженнями до державного та місцевих бюджетів (крім рахунків для зарахування власних надходжень бюджетних установ).</w:t>
      </w:r>
    </w:p>
    <w:p w:rsidR="00D33B82" w:rsidRPr="008936EE" w:rsidRDefault="00D33B82" w:rsidP="00547E63">
      <w:pPr>
        <w:spacing w:after="0" w:line="240" w:lineRule="auto"/>
        <w:ind w:firstLine="567"/>
        <w:jc w:val="both"/>
        <w:rPr>
          <w:rFonts w:ascii="Times New Roman" w:hAnsi="Times New Roman"/>
          <w:sz w:val="27"/>
          <w:szCs w:val="27"/>
        </w:rPr>
      </w:pPr>
      <w:r w:rsidRPr="008936EE">
        <w:rPr>
          <w:rFonts w:ascii="Times New Roman" w:hAnsi="Times New Roman"/>
          <w:sz w:val="27"/>
          <w:szCs w:val="27"/>
        </w:rPr>
        <w:t>Статтею 67</w:t>
      </w:r>
      <w:r w:rsidRPr="008936EE">
        <w:rPr>
          <w:rFonts w:ascii="Times New Roman" w:hAnsi="Times New Roman"/>
          <w:sz w:val="27"/>
          <w:szCs w:val="27"/>
          <w:vertAlign w:val="superscript"/>
        </w:rPr>
        <w:t>1</w:t>
      </w:r>
      <w:r w:rsidRPr="008936EE">
        <w:rPr>
          <w:rFonts w:ascii="Times New Roman" w:hAnsi="Times New Roman"/>
          <w:sz w:val="27"/>
          <w:szCs w:val="27"/>
        </w:rPr>
        <w:t xml:space="preserve"> Бюджетного кодексу України встановлено, що положення Кодексу для бюджетів АР Крим та м. Севастополя застосовуються з урахуванням таких особливостей:</w:t>
      </w:r>
    </w:p>
    <w:p w:rsidR="00D33B82" w:rsidRPr="008936EE" w:rsidRDefault="00D33B82" w:rsidP="00547E63">
      <w:pPr>
        <w:spacing w:after="0" w:line="240" w:lineRule="auto"/>
        <w:ind w:firstLine="567"/>
        <w:jc w:val="both"/>
        <w:rPr>
          <w:rFonts w:ascii="Times New Roman" w:hAnsi="Times New Roman"/>
          <w:sz w:val="27"/>
          <w:szCs w:val="27"/>
        </w:rPr>
      </w:pPr>
      <w:r w:rsidRPr="008936EE">
        <w:rPr>
          <w:rFonts w:ascii="Times New Roman" w:hAnsi="Times New Roman"/>
          <w:sz w:val="27"/>
          <w:szCs w:val="27"/>
        </w:rPr>
        <w:t>1) доходи, що визначені частинами другою і третьою статті 29 Кодексу та сплачуються (перераховуються) на території АР Крим і м. Севастополя, та платежі, визначені пунктом 22 частини другої статті 29 Кодексу, зараховуються в повному обсязі до бюджету АР Крим;</w:t>
      </w:r>
    </w:p>
    <w:p w:rsidR="00D33B82" w:rsidRPr="008936EE" w:rsidRDefault="00D33B82" w:rsidP="00547E63">
      <w:pPr>
        <w:spacing w:after="0" w:line="240" w:lineRule="auto"/>
        <w:ind w:firstLine="567"/>
        <w:jc w:val="both"/>
        <w:rPr>
          <w:rFonts w:ascii="Times New Roman" w:hAnsi="Times New Roman"/>
          <w:sz w:val="27"/>
          <w:szCs w:val="27"/>
        </w:rPr>
      </w:pPr>
      <w:r w:rsidRPr="008936EE">
        <w:rPr>
          <w:rFonts w:ascii="Times New Roman" w:hAnsi="Times New Roman"/>
          <w:sz w:val="27"/>
          <w:szCs w:val="27"/>
        </w:rPr>
        <w:t>2) доходи, що визначені статтями 64</w:t>
      </w:r>
      <w:r w:rsidR="001C450D" w:rsidRPr="008936EE">
        <w:rPr>
          <w:rFonts w:ascii="Times New Roman" w:hAnsi="Times New Roman"/>
          <w:sz w:val="27"/>
          <w:szCs w:val="27"/>
        </w:rPr>
        <w:t> </w:t>
      </w:r>
      <w:r w:rsidRPr="008936EE">
        <w:rPr>
          <w:rFonts w:ascii="Times New Roman" w:hAnsi="Times New Roman"/>
          <w:sz w:val="27"/>
          <w:szCs w:val="27"/>
        </w:rPr>
        <w:t>–</w:t>
      </w:r>
      <w:r w:rsidR="001C450D" w:rsidRPr="008936EE">
        <w:rPr>
          <w:rFonts w:ascii="Times New Roman" w:hAnsi="Times New Roman"/>
          <w:sz w:val="27"/>
          <w:szCs w:val="27"/>
        </w:rPr>
        <w:t> </w:t>
      </w:r>
      <w:r w:rsidRPr="008936EE">
        <w:rPr>
          <w:rFonts w:ascii="Times New Roman" w:hAnsi="Times New Roman"/>
          <w:sz w:val="27"/>
          <w:szCs w:val="27"/>
        </w:rPr>
        <w:t>66, 69, 69</w:t>
      </w:r>
      <w:r w:rsidRPr="008936EE">
        <w:rPr>
          <w:rFonts w:ascii="Times New Roman" w:hAnsi="Times New Roman"/>
          <w:sz w:val="27"/>
          <w:szCs w:val="27"/>
          <w:vertAlign w:val="superscript"/>
        </w:rPr>
        <w:t>1</w:t>
      </w:r>
      <w:r w:rsidRPr="008936EE">
        <w:rPr>
          <w:rFonts w:ascii="Times New Roman" w:hAnsi="Times New Roman"/>
          <w:sz w:val="27"/>
          <w:szCs w:val="27"/>
        </w:rPr>
        <w:t xml:space="preserve"> і 71 Кодексу та сплачуються (перераховуються) на території АР Крим і м. Севастополя, зараховуються до місцевих бюджетів АР Крим.</w:t>
      </w:r>
    </w:p>
    <w:p w:rsidR="00D33B82" w:rsidRPr="008936EE" w:rsidRDefault="00D33B82" w:rsidP="00547E63">
      <w:pPr>
        <w:spacing w:after="0" w:line="240" w:lineRule="auto"/>
        <w:ind w:firstLine="567"/>
        <w:jc w:val="both"/>
        <w:rPr>
          <w:rFonts w:ascii="Times New Roman" w:hAnsi="Times New Roman"/>
          <w:sz w:val="27"/>
          <w:szCs w:val="27"/>
        </w:rPr>
      </w:pPr>
      <w:r w:rsidRPr="008936EE">
        <w:rPr>
          <w:rFonts w:ascii="Times New Roman" w:hAnsi="Times New Roman"/>
          <w:sz w:val="27"/>
          <w:szCs w:val="27"/>
        </w:rPr>
        <w:t xml:space="preserve">Тобто, у Казначейства наразі відсутні підстави для відкриття рахунків </w:t>
      </w:r>
      <w:r w:rsidR="001C450D" w:rsidRPr="008936EE">
        <w:rPr>
          <w:rFonts w:ascii="Times New Roman" w:hAnsi="Times New Roman"/>
          <w:sz w:val="27"/>
          <w:szCs w:val="27"/>
        </w:rPr>
        <w:t>щод</w:t>
      </w:r>
      <w:r w:rsidRPr="008936EE">
        <w:rPr>
          <w:rFonts w:ascii="Times New Roman" w:hAnsi="Times New Roman"/>
          <w:sz w:val="27"/>
          <w:szCs w:val="27"/>
        </w:rPr>
        <w:t>о зарахуванн</w:t>
      </w:r>
      <w:r w:rsidR="001C450D" w:rsidRPr="008936EE">
        <w:rPr>
          <w:rFonts w:ascii="Times New Roman" w:hAnsi="Times New Roman"/>
          <w:sz w:val="27"/>
          <w:szCs w:val="27"/>
        </w:rPr>
        <w:t>я</w:t>
      </w:r>
      <w:r w:rsidRPr="008936EE">
        <w:rPr>
          <w:rFonts w:ascii="Times New Roman" w:hAnsi="Times New Roman"/>
          <w:sz w:val="27"/>
          <w:szCs w:val="27"/>
        </w:rPr>
        <w:t xml:space="preserve"> надходжень до місцевих бюджетів АР Крим та м. Севастополь.</w:t>
      </w:r>
    </w:p>
    <w:p w:rsidR="00D33B82" w:rsidRPr="008936EE" w:rsidRDefault="00D33B82" w:rsidP="00547E63">
      <w:pPr>
        <w:spacing w:after="0" w:line="240" w:lineRule="auto"/>
        <w:ind w:firstLine="567"/>
        <w:jc w:val="both"/>
        <w:rPr>
          <w:rFonts w:ascii="Times New Roman" w:hAnsi="Times New Roman"/>
          <w:sz w:val="27"/>
          <w:szCs w:val="27"/>
        </w:rPr>
      </w:pPr>
      <w:r w:rsidRPr="008936EE">
        <w:rPr>
          <w:rFonts w:ascii="Times New Roman" w:hAnsi="Times New Roman"/>
          <w:sz w:val="27"/>
          <w:szCs w:val="27"/>
        </w:rPr>
        <w:t>Про</w:t>
      </w:r>
      <w:r w:rsidR="001C450D" w:rsidRPr="008936EE">
        <w:rPr>
          <w:rFonts w:ascii="Times New Roman" w:hAnsi="Times New Roman"/>
          <w:sz w:val="27"/>
          <w:szCs w:val="27"/>
        </w:rPr>
        <w:t>те</w:t>
      </w:r>
      <w:r w:rsidRPr="008936EE">
        <w:rPr>
          <w:rFonts w:ascii="Times New Roman" w:hAnsi="Times New Roman"/>
          <w:sz w:val="27"/>
          <w:szCs w:val="27"/>
        </w:rPr>
        <w:t xml:space="preserve"> згідно з чинним законодавством платники податків – суб’єкти ВЕЗ «Крим» не звільняються від обов’язків погашення податкового боргу, який виник у період до 01.03.2014 (тобто до періоду анексії цих територій України).</w:t>
      </w:r>
    </w:p>
    <w:p w:rsidR="00D33B82" w:rsidRDefault="00D33B82" w:rsidP="00547E63">
      <w:pPr>
        <w:spacing w:after="0" w:line="240" w:lineRule="auto"/>
        <w:ind w:firstLine="567"/>
        <w:jc w:val="both"/>
        <w:rPr>
          <w:rFonts w:ascii="Times New Roman" w:hAnsi="Times New Roman"/>
          <w:sz w:val="27"/>
          <w:szCs w:val="27"/>
        </w:rPr>
      </w:pPr>
      <w:r w:rsidRPr="008936EE">
        <w:rPr>
          <w:rFonts w:ascii="Times New Roman" w:hAnsi="Times New Roman"/>
          <w:sz w:val="27"/>
          <w:szCs w:val="27"/>
        </w:rPr>
        <w:t>Таким чином</w:t>
      </w:r>
      <w:r w:rsidR="001C450D" w:rsidRPr="008936EE">
        <w:rPr>
          <w:rFonts w:ascii="Times New Roman" w:hAnsi="Times New Roman"/>
          <w:sz w:val="27"/>
          <w:szCs w:val="27"/>
        </w:rPr>
        <w:t>,</w:t>
      </w:r>
      <w:r w:rsidRPr="008936EE">
        <w:rPr>
          <w:rFonts w:ascii="Times New Roman" w:hAnsi="Times New Roman"/>
          <w:sz w:val="27"/>
          <w:szCs w:val="27"/>
        </w:rPr>
        <w:t xml:space="preserve"> на сьогодні існує потреба щодо внесення відповідних змін </w:t>
      </w:r>
      <w:r w:rsidR="001C450D" w:rsidRPr="008936EE">
        <w:rPr>
          <w:rFonts w:ascii="Times New Roman" w:hAnsi="Times New Roman"/>
          <w:sz w:val="27"/>
          <w:szCs w:val="27"/>
        </w:rPr>
        <w:t>до</w:t>
      </w:r>
      <w:r w:rsidRPr="008936EE">
        <w:rPr>
          <w:rFonts w:ascii="Times New Roman" w:hAnsi="Times New Roman"/>
          <w:sz w:val="27"/>
          <w:szCs w:val="27"/>
        </w:rPr>
        <w:t xml:space="preserve"> Бюджетн</w:t>
      </w:r>
      <w:r w:rsidR="001C450D" w:rsidRPr="008936EE">
        <w:rPr>
          <w:rFonts w:ascii="Times New Roman" w:hAnsi="Times New Roman"/>
          <w:sz w:val="27"/>
          <w:szCs w:val="27"/>
        </w:rPr>
        <w:t>ого</w:t>
      </w:r>
      <w:r w:rsidRPr="008936EE">
        <w:rPr>
          <w:rFonts w:ascii="Times New Roman" w:hAnsi="Times New Roman"/>
          <w:sz w:val="27"/>
          <w:szCs w:val="27"/>
        </w:rPr>
        <w:t xml:space="preserve"> кодекс</w:t>
      </w:r>
      <w:r w:rsidR="001C450D" w:rsidRPr="008936EE">
        <w:rPr>
          <w:rFonts w:ascii="Times New Roman" w:hAnsi="Times New Roman"/>
          <w:sz w:val="27"/>
          <w:szCs w:val="27"/>
        </w:rPr>
        <w:t>у України</w:t>
      </w:r>
      <w:r w:rsidRPr="008936EE">
        <w:rPr>
          <w:rFonts w:ascii="Times New Roman" w:hAnsi="Times New Roman"/>
          <w:sz w:val="27"/>
          <w:szCs w:val="27"/>
        </w:rPr>
        <w:t xml:space="preserve"> в частині надання повноважень Казначейству щодо відкриття рахунків для сплати боргів з місцевих податків та зборів, що виникли до дати тимчасової окупації, платниками-резидентами.</w:t>
      </w:r>
    </w:p>
    <w:p w:rsidR="00A57215" w:rsidRPr="00A57215" w:rsidRDefault="00A57215" w:rsidP="00A57215">
      <w:pPr>
        <w:spacing w:after="0" w:line="240" w:lineRule="auto"/>
        <w:ind w:right="-142" w:firstLine="567"/>
        <w:jc w:val="both"/>
        <w:rPr>
          <w:rFonts w:ascii="Times New Roman" w:hAnsi="Times New Roman"/>
          <w:bCs/>
          <w:sz w:val="27"/>
          <w:szCs w:val="27"/>
        </w:rPr>
      </w:pPr>
      <w:r w:rsidRPr="00C43D25">
        <w:rPr>
          <w:rFonts w:ascii="Times New Roman" w:hAnsi="Times New Roman"/>
          <w:sz w:val="27"/>
          <w:szCs w:val="27"/>
        </w:rPr>
        <w:t>З метою зниження ризиків, пов’язаних із ймовірністю збільшення витрат за державними деривативами у майбутньому, передбачається доповнити положення Бюджетного кодексу  можливістю здійснення правочинів з такими інструментами, включаючи їх обмін, випуск, купівлю, викуп та продаж в тому числі за рахунок здійснення державних запозичень понад обсяги, визначені на поточний бюджетний період законом про Державний бюджет України. Умови таких правочинів мають бути визначені Кабміном.</w:t>
      </w:r>
    </w:p>
    <w:p w:rsidR="00A57215" w:rsidRDefault="00A57215" w:rsidP="00547E63">
      <w:pPr>
        <w:pStyle w:val="a9"/>
        <w:spacing w:before="0"/>
        <w:ind w:right="-142"/>
        <w:jc w:val="both"/>
        <w:rPr>
          <w:rFonts w:ascii="Times New Roman" w:hAnsi="Times New Roman" w:cs="Times New Roman"/>
          <w:b/>
          <w:bCs/>
          <w:sz w:val="27"/>
          <w:szCs w:val="27"/>
        </w:rPr>
      </w:pPr>
    </w:p>
    <w:p w:rsidR="009C2E93" w:rsidRPr="008936EE" w:rsidRDefault="009C2E93" w:rsidP="00547E63">
      <w:pPr>
        <w:pStyle w:val="a9"/>
        <w:spacing w:before="0"/>
        <w:ind w:right="-142"/>
        <w:jc w:val="both"/>
        <w:rPr>
          <w:rFonts w:ascii="Times New Roman" w:hAnsi="Times New Roman" w:cs="Times New Roman"/>
          <w:b/>
          <w:bCs/>
          <w:sz w:val="27"/>
          <w:szCs w:val="27"/>
        </w:rPr>
      </w:pPr>
      <w:r w:rsidRPr="008936EE">
        <w:rPr>
          <w:rFonts w:ascii="Times New Roman" w:hAnsi="Times New Roman" w:cs="Times New Roman"/>
          <w:b/>
          <w:bCs/>
          <w:sz w:val="27"/>
          <w:szCs w:val="27"/>
        </w:rPr>
        <w:t>3. Суть проекту акта</w:t>
      </w:r>
    </w:p>
    <w:p w:rsidR="00CC08E8" w:rsidRPr="008936EE" w:rsidRDefault="001C450D" w:rsidP="001C450D">
      <w:pPr>
        <w:autoSpaceDE w:val="0"/>
        <w:autoSpaceDN w:val="0"/>
        <w:adjustRightInd w:val="0"/>
        <w:spacing w:after="0" w:line="240" w:lineRule="auto"/>
        <w:ind w:firstLine="567"/>
        <w:jc w:val="both"/>
        <w:rPr>
          <w:rFonts w:ascii="Times New Roman" w:eastAsiaTheme="minorEastAsia" w:hAnsi="Times New Roman"/>
          <w:sz w:val="27"/>
          <w:szCs w:val="27"/>
          <w:lang w:eastAsia="ru-RU"/>
        </w:rPr>
      </w:pPr>
      <w:r w:rsidRPr="008936EE">
        <w:rPr>
          <w:rFonts w:ascii="Times New Roman" w:hAnsi="Times New Roman"/>
          <w:sz w:val="27"/>
          <w:szCs w:val="27"/>
        </w:rPr>
        <w:t xml:space="preserve">Законопроектом </w:t>
      </w:r>
      <w:r w:rsidR="00D33B82" w:rsidRPr="008936EE">
        <w:rPr>
          <w:rFonts w:ascii="Times New Roman" w:hAnsi="Times New Roman"/>
          <w:sz w:val="27"/>
          <w:szCs w:val="27"/>
        </w:rPr>
        <w:t>пропонується внести</w:t>
      </w:r>
      <w:r w:rsidR="009C2E93" w:rsidRPr="008936EE">
        <w:rPr>
          <w:rFonts w:ascii="Times New Roman" w:hAnsi="Times New Roman"/>
          <w:sz w:val="27"/>
          <w:szCs w:val="27"/>
        </w:rPr>
        <w:t xml:space="preserve"> змін</w:t>
      </w:r>
      <w:r w:rsidR="00D33B82" w:rsidRPr="008936EE">
        <w:rPr>
          <w:rFonts w:ascii="Times New Roman" w:hAnsi="Times New Roman"/>
          <w:sz w:val="27"/>
          <w:szCs w:val="27"/>
        </w:rPr>
        <w:t>и</w:t>
      </w:r>
      <w:r w:rsidR="009C2E93" w:rsidRPr="008936EE">
        <w:rPr>
          <w:rFonts w:ascii="Times New Roman" w:hAnsi="Times New Roman"/>
          <w:sz w:val="27"/>
          <w:szCs w:val="27"/>
        </w:rPr>
        <w:t xml:space="preserve"> до </w:t>
      </w:r>
      <w:r w:rsidR="00D33B82" w:rsidRPr="008936EE">
        <w:rPr>
          <w:rFonts w:ascii="Times New Roman" w:hAnsi="Times New Roman"/>
          <w:sz w:val="27"/>
          <w:szCs w:val="27"/>
        </w:rPr>
        <w:t xml:space="preserve">статті 17 </w:t>
      </w:r>
      <w:r w:rsidR="009C2E93" w:rsidRPr="008936EE">
        <w:rPr>
          <w:rFonts w:ascii="Times New Roman" w:hAnsi="Times New Roman"/>
          <w:sz w:val="27"/>
          <w:szCs w:val="27"/>
        </w:rPr>
        <w:t xml:space="preserve">Бюджетного кодексу </w:t>
      </w:r>
      <w:r w:rsidRPr="008936EE">
        <w:rPr>
          <w:rFonts w:ascii="Times New Roman" w:hAnsi="Times New Roman"/>
          <w:sz w:val="27"/>
          <w:szCs w:val="27"/>
        </w:rPr>
        <w:t xml:space="preserve">України </w:t>
      </w:r>
      <w:r w:rsidR="009C2E93" w:rsidRPr="008936EE">
        <w:rPr>
          <w:rFonts w:ascii="Times New Roman" w:hAnsi="Times New Roman"/>
          <w:sz w:val="27"/>
          <w:szCs w:val="27"/>
        </w:rPr>
        <w:t xml:space="preserve">в частині </w:t>
      </w:r>
      <w:r w:rsidR="00D33B82" w:rsidRPr="008936EE">
        <w:rPr>
          <w:rFonts w:ascii="Times New Roman" w:hAnsi="Times New Roman"/>
          <w:sz w:val="27"/>
          <w:szCs w:val="27"/>
        </w:rPr>
        <w:t>створення законодавчих підстав для надання за рішенням Кабінету Міністрів України</w:t>
      </w:r>
      <w:r w:rsidR="00FF5AAA" w:rsidRPr="008936EE">
        <w:rPr>
          <w:rFonts w:ascii="Times New Roman" w:hAnsi="Times New Roman"/>
          <w:sz w:val="27"/>
          <w:szCs w:val="27"/>
        </w:rPr>
        <w:t xml:space="preserve"> (за умови</w:t>
      </w:r>
      <w:r w:rsidRPr="008936EE">
        <w:rPr>
          <w:rFonts w:ascii="Times New Roman" w:hAnsi="Times New Roman"/>
          <w:sz w:val="27"/>
          <w:szCs w:val="27"/>
        </w:rPr>
        <w:t>,</w:t>
      </w:r>
      <w:r w:rsidR="00FF5AAA" w:rsidRPr="008936EE">
        <w:rPr>
          <w:rFonts w:ascii="Times New Roman" w:hAnsi="Times New Roman"/>
          <w:sz w:val="27"/>
          <w:szCs w:val="27"/>
        </w:rPr>
        <w:t xml:space="preserve"> якщо це буде передбачено законом про державний бюджет на відповідний період)</w:t>
      </w:r>
      <w:r w:rsidR="00D33B82" w:rsidRPr="008936EE">
        <w:rPr>
          <w:rFonts w:ascii="Times New Roman" w:hAnsi="Times New Roman"/>
          <w:sz w:val="27"/>
          <w:szCs w:val="27"/>
        </w:rPr>
        <w:t xml:space="preserve"> державних</w:t>
      </w:r>
      <w:r w:rsidR="00FF5AAA" w:rsidRPr="008936EE">
        <w:rPr>
          <w:rFonts w:ascii="Times New Roman" w:hAnsi="Times New Roman"/>
          <w:sz w:val="27"/>
          <w:szCs w:val="27"/>
        </w:rPr>
        <w:t xml:space="preserve"> гарантій для забезпечення часткового виконання боргових зобов’язань за портфелем кредитів банків-кредиторів, наданих суб’єктам господарювання мікро, малого та/або середнього  </w:t>
      </w:r>
      <w:r w:rsidR="00FF5AAA" w:rsidRPr="008936EE">
        <w:rPr>
          <w:rFonts w:ascii="Times New Roman" w:hAnsi="Times New Roman"/>
          <w:sz w:val="27"/>
          <w:szCs w:val="27"/>
        </w:rPr>
        <w:lastRenderedPageBreak/>
        <w:t xml:space="preserve">підприємництва </w:t>
      </w:r>
      <w:r w:rsidRPr="008936EE">
        <w:rPr>
          <w:rFonts w:ascii="Times New Roman" w:hAnsi="Times New Roman"/>
          <w:sz w:val="27"/>
          <w:szCs w:val="27"/>
        </w:rPr>
        <w:t>–</w:t>
      </w:r>
      <w:r w:rsidR="00FF5AAA" w:rsidRPr="008936EE">
        <w:rPr>
          <w:rFonts w:ascii="Times New Roman" w:hAnsi="Times New Roman"/>
          <w:sz w:val="27"/>
          <w:szCs w:val="27"/>
        </w:rPr>
        <w:t xml:space="preserve"> резидентам України у розмірі, що не перевищує </w:t>
      </w:r>
      <w:r w:rsidR="000B1E57" w:rsidRPr="008936EE">
        <w:rPr>
          <w:rFonts w:ascii="Times New Roman" w:hAnsi="Times New Roman"/>
          <w:sz w:val="27"/>
          <w:szCs w:val="27"/>
        </w:rPr>
        <w:t>8</w:t>
      </w:r>
      <w:r w:rsidR="00FF5AAA" w:rsidRPr="008936EE">
        <w:rPr>
          <w:rFonts w:ascii="Times New Roman" w:hAnsi="Times New Roman"/>
          <w:sz w:val="27"/>
          <w:szCs w:val="27"/>
        </w:rPr>
        <w:t>0 відсотків загальної суми таких боргових зобов’язань за портфелем кредитів та  80 відсотків за кожним окремим кредитом (далі – державні гарантії на портфельній основі). Порядок відбору банків-кредиторів та умови надання державних гарантій на портфельній основі мають бути встановлені Кабінетом Міністрів України.</w:t>
      </w:r>
      <w:r w:rsidR="00CC08E8" w:rsidRPr="008936EE">
        <w:rPr>
          <w:rFonts w:ascii="Times New Roman" w:eastAsiaTheme="minorEastAsia" w:hAnsi="Times New Roman"/>
          <w:sz w:val="27"/>
          <w:szCs w:val="27"/>
          <w:lang w:eastAsia="ru-RU"/>
        </w:rPr>
        <w:t xml:space="preserve"> </w:t>
      </w:r>
    </w:p>
    <w:p w:rsidR="009C2E93" w:rsidRPr="008936EE" w:rsidRDefault="004F5D53" w:rsidP="001C450D">
      <w:pPr>
        <w:autoSpaceDE w:val="0"/>
        <w:autoSpaceDN w:val="0"/>
        <w:adjustRightInd w:val="0"/>
        <w:spacing w:after="0" w:line="240" w:lineRule="auto"/>
        <w:ind w:firstLine="567"/>
        <w:jc w:val="both"/>
        <w:rPr>
          <w:rFonts w:ascii="Times New Roman" w:hAnsi="Times New Roman"/>
          <w:sz w:val="27"/>
          <w:szCs w:val="27"/>
        </w:rPr>
      </w:pPr>
      <w:r w:rsidRPr="008936EE">
        <w:rPr>
          <w:rFonts w:ascii="Times New Roman" w:hAnsi="Times New Roman"/>
          <w:sz w:val="27"/>
          <w:szCs w:val="27"/>
        </w:rPr>
        <w:t>Крім того</w:t>
      </w:r>
      <w:r w:rsidR="001C450D" w:rsidRPr="008936EE">
        <w:rPr>
          <w:rFonts w:ascii="Times New Roman" w:hAnsi="Times New Roman"/>
          <w:sz w:val="27"/>
          <w:szCs w:val="27"/>
        </w:rPr>
        <w:t>,</w:t>
      </w:r>
      <w:r w:rsidR="00FF5AAA" w:rsidRPr="008936EE">
        <w:rPr>
          <w:rFonts w:ascii="Times New Roman" w:hAnsi="Times New Roman"/>
          <w:sz w:val="27"/>
          <w:szCs w:val="27"/>
        </w:rPr>
        <w:t xml:space="preserve"> з метою забезпечення ефективного моніторингу та контролю за наданими державними гарантіями на портфельній основі</w:t>
      </w:r>
      <w:r w:rsidRPr="008936EE">
        <w:rPr>
          <w:rFonts w:ascii="Times New Roman" w:hAnsi="Times New Roman"/>
          <w:sz w:val="27"/>
          <w:szCs w:val="27"/>
        </w:rPr>
        <w:t xml:space="preserve"> пропонується </w:t>
      </w:r>
      <w:r w:rsidR="00A041B8" w:rsidRPr="008936EE">
        <w:rPr>
          <w:rFonts w:ascii="Times New Roman" w:hAnsi="Times New Roman"/>
          <w:sz w:val="27"/>
          <w:szCs w:val="27"/>
        </w:rPr>
        <w:t xml:space="preserve"> </w:t>
      </w:r>
      <w:r w:rsidR="00834C68" w:rsidRPr="008936EE">
        <w:rPr>
          <w:rFonts w:ascii="Times New Roman" w:hAnsi="Times New Roman"/>
          <w:sz w:val="27"/>
          <w:szCs w:val="27"/>
        </w:rPr>
        <w:t>перед</w:t>
      </w:r>
      <w:r w:rsidR="009752FC" w:rsidRPr="008936EE">
        <w:rPr>
          <w:rFonts w:ascii="Times New Roman" w:hAnsi="Times New Roman"/>
          <w:sz w:val="27"/>
          <w:szCs w:val="27"/>
        </w:rPr>
        <w:t>б</w:t>
      </w:r>
      <w:r w:rsidR="00834C68" w:rsidRPr="008936EE">
        <w:rPr>
          <w:rFonts w:ascii="Times New Roman" w:hAnsi="Times New Roman"/>
          <w:sz w:val="27"/>
          <w:szCs w:val="27"/>
        </w:rPr>
        <w:t xml:space="preserve">ачити можливість </w:t>
      </w:r>
      <w:r w:rsidR="009C2E93" w:rsidRPr="008936EE">
        <w:rPr>
          <w:rFonts w:ascii="Times New Roman" w:hAnsi="Times New Roman"/>
          <w:sz w:val="27"/>
          <w:szCs w:val="27"/>
        </w:rPr>
        <w:t>залучення</w:t>
      </w:r>
      <w:r w:rsidR="00A041B8" w:rsidRPr="008936EE">
        <w:rPr>
          <w:rFonts w:ascii="Times New Roman" w:hAnsi="Times New Roman"/>
          <w:sz w:val="27"/>
          <w:szCs w:val="27"/>
        </w:rPr>
        <w:t xml:space="preserve"> державою</w:t>
      </w:r>
      <w:r w:rsidR="009C2E93" w:rsidRPr="008936EE">
        <w:rPr>
          <w:rFonts w:ascii="Times New Roman" w:hAnsi="Times New Roman"/>
          <w:sz w:val="27"/>
          <w:szCs w:val="27"/>
        </w:rPr>
        <w:t xml:space="preserve"> </w:t>
      </w:r>
      <w:r w:rsidR="006F240E" w:rsidRPr="008936EE">
        <w:rPr>
          <w:rFonts w:ascii="Times New Roman" w:hAnsi="Times New Roman"/>
          <w:sz w:val="27"/>
          <w:szCs w:val="27"/>
        </w:rPr>
        <w:t>юридичних осіб</w:t>
      </w:r>
      <w:r w:rsidR="009C2E93" w:rsidRPr="008936EE">
        <w:rPr>
          <w:rFonts w:ascii="Times New Roman" w:hAnsi="Times New Roman"/>
          <w:sz w:val="27"/>
          <w:szCs w:val="27"/>
        </w:rPr>
        <w:t xml:space="preserve"> для надання агентських, консультаційних та інших послуг, необхідних для управління гарантійними зобов’язаннями держави, наданими на портфельній основі.</w:t>
      </w:r>
    </w:p>
    <w:p w:rsidR="004F5D53" w:rsidRPr="008936EE" w:rsidRDefault="004F5D53" w:rsidP="001C450D">
      <w:pPr>
        <w:autoSpaceDE w:val="0"/>
        <w:autoSpaceDN w:val="0"/>
        <w:adjustRightInd w:val="0"/>
        <w:spacing w:after="0" w:line="240" w:lineRule="auto"/>
        <w:ind w:firstLine="567"/>
        <w:jc w:val="both"/>
        <w:rPr>
          <w:rFonts w:ascii="Times New Roman" w:hAnsi="Times New Roman"/>
          <w:sz w:val="27"/>
          <w:szCs w:val="27"/>
        </w:rPr>
      </w:pPr>
      <w:r w:rsidRPr="008936EE">
        <w:rPr>
          <w:rFonts w:ascii="Times New Roman" w:hAnsi="Times New Roman"/>
          <w:sz w:val="27"/>
          <w:szCs w:val="27"/>
        </w:rPr>
        <w:t xml:space="preserve">На </w:t>
      </w:r>
      <w:r w:rsidR="001D6777" w:rsidRPr="008936EE">
        <w:rPr>
          <w:rFonts w:ascii="Times New Roman" w:hAnsi="Times New Roman"/>
          <w:sz w:val="27"/>
          <w:szCs w:val="27"/>
        </w:rPr>
        <w:t>це</w:t>
      </w:r>
      <w:r w:rsidRPr="008936EE">
        <w:rPr>
          <w:rFonts w:ascii="Times New Roman" w:hAnsi="Times New Roman"/>
          <w:sz w:val="27"/>
          <w:szCs w:val="27"/>
        </w:rPr>
        <w:t xml:space="preserve">й час </w:t>
      </w:r>
      <w:r w:rsidR="001D6777" w:rsidRPr="008936EE">
        <w:rPr>
          <w:rFonts w:ascii="Times New Roman" w:hAnsi="Times New Roman"/>
          <w:sz w:val="27"/>
          <w:szCs w:val="27"/>
        </w:rPr>
        <w:t>до</w:t>
      </w:r>
      <w:r w:rsidRPr="008936EE">
        <w:rPr>
          <w:rFonts w:ascii="Times New Roman" w:hAnsi="Times New Roman"/>
          <w:sz w:val="27"/>
          <w:szCs w:val="27"/>
        </w:rPr>
        <w:t xml:space="preserve"> сфер</w:t>
      </w:r>
      <w:r w:rsidR="001D6777" w:rsidRPr="008936EE">
        <w:rPr>
          <w:rFonts w:ascii="Times New Roman" w:hAnsi="Times New Roman"/>
          <w:sz w:val="27"/>
          <w:szCs w:val="27"/>
        </w:rPr>
        <w:t>и</w:t>
      </w:r>
      <w:r w:rsidRPr="008936EE">
        <w:rPr>
          <w:rFonts w:ascii="Times New Roman" w:hAnsi="Times New Roman"/>
          <w:sz w:val="27"/>
          <w:szCs w:val="27"/>
        </w:rPr>
        <w:t xml:space="preserve"> управління Мінфіну </w:t>
      </w:r>
      <w:r w:rsidR="001D6777" w:rsidRPr="008936EE">
        <w:rPr>
          <w:rFonts w:ascii="Times New Roman" w:hAnsi="Times New Roman"/>
          <w:sz w:val="27"/>
          <w:szCs w:val="27"/>
        </w:rPr>
        <w:t>належить</w:t>
      </w:r>
      <w:r w:rsidRPr="008936EE">
        <w:rPr>
          <w:rFonts w:ascii="Times New Roman" w:hAnsi="Times New Roman"/>
          <w:sz w:val="27"/>
          <w:szCs w:val="27"/>
        </w:rPr>
        <w:t xml:space="preserve"> ДУ </w:t>
      </w:r>
      <w:r w:rsidR="001D6777" w:rsidRPr="008936EE">
        <w:rPr>
          <w:rFonts w:ascii="Times New Roman" w:hAnsi="Times New Roman"/>
          <w:sz w:val="27"/>
          <w:szCs w:val="27"/>
        </w:rPr>
        <w:t>«</w:t>
      </w:r>
      <w:r w:rsidRPr="008936EE">
        <w:rPr>
          <w:rFonts w:ascii="Times New Roman" w:hAnsi="Times New Roman"/>
          <w:sz w:val="27"/>
          <w:szCs w:val="27"/>
        </w:rPr>
        <w:t>Офіс АПМФС</w:t>
      </w:r>
      <w:r w:rsidR="001D6777" w:rsidRPr="008936EE">
        <w:rPr>
          <w:rFonts w:ascii="Times New Roman" w:hAnsi="Times New Roman"/>
          <w:sz w:val="27"/>
          <w:szCs w:val="27"/>
        </w:rPr>
        <w:t>»</w:t>
      </w:r>
      <w:r w:rsidRPr="008936EE">
        <w:rPr>
          <w:rFonts w:ascii="Times New Roman" w:hAnsi="Times New Roman"/>
          <w:sz w:val="27"/>
          <w:szCs w:val="27"/>
        </w:rPr>
        <w:t xml:space="preserve">, що здійснює управління поточною діяльністю Фонду розвитку підприємництва, який відповідно до постанови </w:t>
      </w:r>
      <w:r w:rsidR="001D6777" w:rsidRPr="008936EE">
        <w:rPr>
          <w:rFonts w:ascii="Times New Roman" w:hAnsi="Times New Roman"/>
          <w:sz w:val="27"/>
          <w:szCs w:val="27"/>
        </w:rPr>
        <w:t>Уряду</w:t>
      </w:r>
      <w:r w:rsidRPr="008936EE">
        <w:rPr>
          <w:rFonts w:ascii="Times New Roman" w:hAnsi="Times New Roman"/>
          <w:sz w:val="27"/>
          <w:szCs w:val="27"/>
        </w:rPr>
        <w:t xml:space="preserve"> </w:t>
      </w:r>
      <w:r w:rsidR="001D6777" w:rsidRPr="008936EE">
        <w:rPr>
          <w:rFonts w:ascii="Times New Roman" w:hAnsi="Times New Roman"/>
          <w:sz w:val="27"/>
          <w:szCs w:val="27"/>
        </w:rPr>
        <w:t xml:space="preserve">від 24.01.2020 </w:t>
      </w:r>
      <w:r w:rsidR="00FF5AAA" w:rsidRPr="008936EE">
        <w:rPr>
          <w:rFonts w:ascii="Times New Roman" w:hAnsi="Times New Roman"/>
          <w:sz w:val="27"/>
          <w:szCs w:val="27"/>
        </w:rPr>
        <w:t>№</w:t>
      </w:r>
      <w:r w:rsidR="001D6777" w:rsidRPr="008936EE">
        <w:rPr>
          <w:rFonts w:ascii="Times New Roman" w:hAnsi="Times New Roman"/>
          <w:sz w:val="27"/>
          <w:szCs w:val="27"/>
        </w:rPr>
        <w:t xml:space="preserve"> </w:t>
      </w:r>
      <w:r w:rsidRPr="008936EE">
        <w:rPr>
          <w:rFonts w:ascii="Times New Roman" w:hAnsi="Times New Roman"/>
          <w:sz w:val="27"/>
          <w:szCs w:val="27"/>
        </w:rPr>
        <w:t>28 впроваджує програму фінансової державної підтримки суб'єктів мікропідприємництва та малого підприємництва. Отже, наразі є установа, яка має відповідний досвід та здатна ефективно виконувати за</w:t>
      </w:r>
      <w:r w:rsidR="001D6777" w:rsidRPr="008936EE">
        <w:rPr>
          <w:rFonts w:ascii="Times New Roman" w:hAnsi="Times New Roman"/>
          <w:sz w:val="27"/>
          <w:szCs w:val="27"/>
        </w:rPr>
        <w:t>вдання</w:t>
      </w:r>
      <w:r w:rsidRPr="008936EE">
        <w:rPr>
          <w:rFonts w:ascii="Times New Roman" w:hAnsi="Times New Roman"/>
          <w:sz w:val="27"/>
          <w:szCs w:val="27"/>
        </w:rPr>
        <w:t xml:space="preserve"> з надання агентських, консультаці</w:t>
      </w:r>
      <w:r w:rsidR="001D6777" w:rsidRPr="008936EE">
        <w:rPr>
          <w:rFonts w:ascii="Times New Roman" w:hAnsi="Times New Roman"/>
          <w:sz w:val="27"/>
          <w:szCs w:val="27"/>
        </w:rPr>
        <w:t>й</w:t>
      </w:r>
      <w:r w:rsidRPr="008936EE">
        <w:rPr>
          <w:rFonts w:ascii="Times New Roman" w:hAnsi="Times New Roman"/>
          <w:sz w:val="27"/>
          <w:szCs w:val="27"/>
        </w:rPr>
        <w:t>них та інших послуг, необхідних для управління гарантійними зобов'язаннями держави</w:t>
      </w:r>
      <w:r w:rsidR="001D6777" w:rsidRPr="008936EE">
        <w:rPr>
          <w:rFonts w:ascii="Times New Roman" w:hAnsi="Times New Roman"/>
          <w:sz w:val="27"/>
          <w:szCs w:val="27"/>
        </w:rPr>
        <w:t>,</w:t>
      </w:r>
      <w:r w:rsidRPr="008936EE">
        <w:rPr>
          <w:rFonts w:ascii="Times New Roman" w:hAnsi="Times New Roman"/>
          <w:sz w:val="27"/>
          <w:szCs w:val="27"/>
        </w:rPr>
        <w:t xml:space="preserve"> наданими на портфельній основі. Офіс має всі необхідні процедури (включаючи договори гарантій та порядок відбору банків), що полегшує запуск надання державних гарантій на портфельній основі.</w:t>
      </w:r>
    </w:p>
    <w:p w:rsidR="00CC08E8" w:rsidRPr="008936EE" w:rsidRDefault="00CC08E8" w:rsidP="001C450D">
      <w:pPr>
        <w:spacing w:after="0" w:line="240" w:lineRule="auto"/>
        <w:ind w:firstLine="357"/>
        <w:contextualSpacing/>
        <w:jc w:val="both"/>
        <w:rPr>
          <w:rFonts w:ascii="Times New Roman" w:eastAsiaTheme="minorEastAsia" w:hAnsi="Times New Roman"/>
          <w:sz w:val="27"/>
          <w:szCs w:val="27"/>
          <w:lang w:eastAsia="ru-RU"/>
        </w:rPr>
      </w:pPr>
      <w:r w:rsidRPr="008936EE">
        <w:rPr>
          <w:rFonts w:ascii="Times New Roman" w:eastAsiaTheme="minorEastAsia" w:hAnsi="Times New Roman"/>
          <w:sz w:val="27"/>
          <w:szCs w:val="27"/>
          <w:lang w:eastAsia="ru-RU"/>
        </w:rPr>
        <w:t>Механізм передбачає відсутність прямих взаємовідносин між гарантом та позичальником, що з одного боку спрощує відповідні бюрократичні процедури, нівелює корупційні ризики та можливі зловживання, а з іншого покладає на банки-кредитори додаткові вимоги, в тому числі щодо оцінки позичальників, їх діяльності та фінансових показників, стягнення з них простроченої заборгованості, в тому числі в частині заборгованості перед державою.</w:t>
      </w:r>
    </w:p>
    <w:p w:rsidR="00834C68" w:rsidRPr="008936EE" w:rsidRDefault="00834C68" w:rsidP="001C450D">
      <w:pPr>
        <w:spacing w:after="0" w:line="240" w:lineRule="auto"/>
        <w:ind w:firstLine="357"/>
        <w:contextualSpacing/>
        <w:jc w:val="both"/>
        <w:rPr>
          <w:rFonts w:ascii="Times New Roman" w:eastAsiaTheme="minorEastAsia" w:hAnsi="Times New Roman"/>
          <w:sz w:val="27"/>
          <w:szCs w:val="27"/>
          <w:lang w:eastAsia="ru-RU"/>
        </w:rPr>
      </w:pPr>
      <w:r w:rsidRPr="008936EE">
        <w:rPr>
          <w:rFonts w:ascii="Times New Roman" w:eastAsiaTheme="minorEastAsia" w:hAnsi="Times New Roman"/>
          <w:sz w:val="27"/>
          <w:szCs w:val="27"/>
          <w:lang w:eastAsia="ru-RU"/>
        </w:rPr>
        <w:t xml:space="preserve">Також пропонується внести зміни до </w:t>
      </w:r>
      <w:r w:rsidR="005A669C" w:rsidRPr="008936EE">
        <w:rPr>
          <w:rFonts w:ascii="Times New Roman" w:eastAsiaTheme="minorEastAsia" w:hAnsi="Times New Roman"/>
          <w:sz w:val="27"/>
          <w:szCs w:val="27"/>
          <w:lang w:eastAsia="ru-RU"/>
        </w:rPr>
        <w:t>розділу VI </w:t>
      </w:r>
      <w:r w:rsidR="001D6777" w:rsidRPr="008936EE">
        <w:rPr>
          <w:rFonts w:ascii="Times New Roman" w:eastAsiaTheme="minorEastAsia" w:hAnsi="Times New Roman"/>
          <w:sz w:val="27"/>
          <w:szCs w:val="27"/>
          <w:lang w:eastAsia="ru-RU"/>
        </w:rPr>
        <w:t>«</w:t>
      </w:r>
      <w:r w:rsidR="005A669C" w:rsidRPr="008936EE">
        <w:rPr>
          <w:rFonts w:ascii="Times New Roman" w:eastAsiaTheme="minorEastAsia" w:hAnsi="Times New Roman"/>
          <w:sz w:val="27"/>
          <w:szCs w:val="27"/>
          <w:lang w:eastAsia="ru-RU"/>
        </w:rPr>
        <w:t>Прикінцеві та перехідні положення</w:t>
      </w:r>
      <w:r w:rsidR="001D6777" w:rsidRPr="008936EE">
        <w:rPr>
          <w:rFonts w:ascii="Times New Roman" w:eastAsiaTheme="minorEastAsia" w:hAnsi="Times New Roman"/>
          <w:sz w:val="27"/>
          <w:szCs w:val="27"/>
          <w:lang w:eastAsia="ru-RU"/>
        </w:rPr>
        <w:t xml:space="preserve">», зокрема </w:t>
      </w:r>
      <w:r w:rsidR="005A669C" w:rsidRPr="008936EE">
        <w:rPr>
          <w:rFonts w:ascii="Times New Roman" w:eastAsiaTheme="minorEastAsia" w:hAnsi="Times New Roman"/>
          <w:sz w:val="27"/>
          <w:szCs w:val="27"/>
          <w:lang w:eastAsia="ru-RU"/>
        </w:rPr>
        <w:t xml:space="preserve">до </w:t>
      </w:r>
      <w:r w:rsidRPr="008936EE">
        <w:rPr>
          <w:rFonts w:ascii="Times New Roman" w:eastAsiaTheme="minorEastAsia" w:hAnsi="Times New Roman"/>
          <w:sz w:val="27"/>
          <w:szCs w:val="27"/>
          <w:lang w:eastAsia="ru-RU"/>
        </w:rPr>
        <w:t>пункту 35</w:t>
      </w:r>
      <w:r w:rsidR="001D6777" w:rsidRPr="008936EE">
        <w:rPr>
          <w:rFonts w:ascii="Times New Roman" w:eastAsiaTheme="minorEastAsia" w:hAnsi="Times New Roman"/>
          <w:sz w:val="27"/>
          <w:szCs w:val="27"/>
          <w:lang w:eastAsia="ru-RU"/>
        </w:rPr>
        <w:t>,</w:t>
      </w:r>
      <w:r w:rsidRPr="008936EE">
        <w:rPr>
          <w:rFonts w:ascii="Times New Roman" w:eastAsiaTheme="minorEastAsia" w:hAnsi="Times New Roman"/>
          <w:sz w:val="27"/>
          <w:szCs w:val="27"/>
          <w:lang w:eastAsia="ru-RU"/>
        </w:rPr>
        <w:t xml:space="preserve"> </w:t>
      </w:r>
      <w:r w:rsidR="005A669C" w:rsidRPr="008936EE">
        <w:rPr>
          <w:rFonts w:ascii="Times New Roman" w:eastAsiaTheme="minorEastAsia" w:hAnsi="Times New Roman"/>
          <w:sz w:val="27"/>
          <w:szCs w:val="27"/>
          <w:lang w:eastAsia="ru-RU"/>
        </w:rPr>
        <w:t>щодо</w:t>
      </w:r>
      <w:r w:rsidRPr="008936EE">
        <w:rPr>
          <w:rFonts w:ascii="Times New Roman" w:eastAsiaTheme="minorEastAsia" w:hAnsi="Times New Roman"/>
          <w:sz w:val="27"/>
          <w:szCs w:val="27"/>
          <w:lang w:eastAsia="ru-RU"/>
        </w:rPr>
        <w:t xml:space="preserve"> </w:t>
      </w:r>
      <w:r w:rsidR="005A669C" w:rsidRPr="008936EE">
        <w:rPr>
          <w:rFonts w:ascii="Times New Roman" w:eastAsiaTheme="minorEastAsia" w:hAnsi="Times New Roman"/>
          <w:sz w:val="27"/>
          <w:szCs w:val="27"/>
          <w:lang w:eastAsia="ru-RU"/>
        </w:rPr>
        <w:t>здійснення правочинів з державними деривативами, включаючи їх обмін, випуск, купівлю, викуп та продаж та доповнення пунктом 16</w:t>
      </w:r>
      <w:r w:rsidR="005A669C" w:rsidRPr="008936EE">
        <w:rPr>
          <w:rFonts w:ascii="Times New Roman" w:eastAsiaTheme="minorEastAsia" w:hAnsi="Times New Roman"/>
          <w:sz w:val="27"/>
          <w:szCs w:val="27"/>
          <w:vertAlign w:val="superscript"/>
          <w:lang w:eastAsia="ru-RU"/>
        </w:rPr>
        <w:t>1</w:t>
      </w:r>
      <w:r w:rsidR="005A669C" w:rsidRPr="008936EE">
        <w:rPr>
          <w:rFonts w:ascii="Times New Roman" w:eastAsiaTheme="minorEastAsia" w:hAnsi="Times New Roman"/>
          <w:sz w:val="27"/>
          <w:szCs w:val="27"/>
          <w:lang w:eastAsia="ru-RU"/>
        </w:rPr>
        <w:t xml:space="preserve"> в частині</w:t>
      </w:r>
      <w:r w:rsidR="005A669C" w:rsidRPr="008936EE">
        <w:rPr>
          <w:rFonts w:ascii="Times New Roman" w:hAnsi="Times New Roman"/>
          <w:sz w:val="27"/>
          <w:szCs w:val="27"/>
        </w:rPr>
        <w:t xml:space="preserve"> </w:t>
      </w:r>
      <w:r w:rsidR="005A669C" w:rsidRPr="008936EE">
        <w:rPr>
          <w:rFonts w:ascii="Times New Roman" w:eastAsiaTheme="minorEastAsia" w:hAnsi="Times New Roman"/>
          <w:sz w:val="27"/>
          <w:szCs w:val="27"/>
          <w:lang w:eastAsia="ru-RU"/>
        </w:rPr>
        <w:t xml:space="preserve">надання повноважень Казначейству щодо відкриття рахунків для сплати боргів з місцевих податків та зборів, що виникли до дати тимчасової окупації, платниками-резидентами. </w:t>
      </w:r>
    </w:p>
    <w:p w:rsidR="009C2E93" w:rsidRPr="008936EE" w:rsidRDefault="009C2E93" w:rsidP="00547E63">
      <w:pPr>
        <w:autoSpaceDE w:val="0"/>
        <w:autoSpaceDN w:val="0"/>
        <w:adjustRightInd w:val="0"/>
        <w:spacing w:after="0" w:line="240" w:lineRule="auto"/>
        <w:ind w:right="-142" w:firstLine="567"/>
        <w:jc w:val="both"/>
        <w:rPr>
          <w:rFonts w:ascii="Times New Roman" w:hAnsi="Times New Roman"/>
          <w:b/>
          <w:sz w:val="27"/>
          <w:szCs w:val="27"/>
        </w:rPr>
      </w:pPr>
    </w:p>
    <w:p w:rsidR="009C2E93" w:rsidRPr="008936EE" w:rsidRDefault="009C2E93" w:rsidP="0009232F">
      <w:pPr>
        <w:pStyle w:val="a8"/>
        <w:numPr>
          <w:ilvl w:val="0"/>
          <w:numId w:val="2"/>
        </w:numPr>
        <w:autoSpaceDE w:val="0"/>
        <w:autoSpaceDN w:val="0"/>
        <w:adjustRightInd w:val="0"/>
        <w:spacing w:after="0" w:line="240" w:lineRule="auto"/>
        <w:ind w:right="-142"/>
        <w:jc w:val="both"/>
        <w:rPr>
          <w:rFonts w:ascii="Times New Roman" w:hAnsi="Times New Roman"/>
          <w:b/>
          <w:sz w:val="27"/>
          <w:szCs w:val="27"/>
        </w:rPr>
      </w:pPr>
      <w:r w:rsidRPr="008936EE">
        <w:rPr>
          <w:rFonts w:ascii="Times New Roman" w:hAnsi="Times New Roman"/>
          <w:b/>
          <w:sz w:val="27"/>
          <w:szCs w:val="27"/>
        </w:rPr>
        <w:t>Вплив на бюджет</w:t>
      </w:r>
    </w:p>
    <w:p w:rsidR="0009232F" w:rsidRPr="008936EE" w:rsidRDefault="0009232F" w:rsidP="0009232F">
      <w:pPr>
        <w:autoSpaceDE w:val="0"/>
        <w:autoSpaceDN w:val="0"/>
        <w:adjustRightInd w:val="0"/>
        <w:spacing w:after="0" w:line="240" w:lineRule="auto"/>
        <w:ind w:right="-142" w:firstLine="426"/>
        <w:jc w:val="both"/>
        <w:rPr>
          <w:rFonts w:ascii="Times New Roman" w:hAnsi="Times New Roman"/>
          <w:sz w:val="27"/>
          <w:szCs w:val="27"/>
        </w:rPr>
      </w:pPr>
      <w:r w:rsidRPr="00C43D25">
        <w:rPr>
          <w:rFonts w:ascii="Times New Roman" w:hAnsi="Times New Roman"/>
          <w:bCs/>
          <w:sz w:val="27"/>
          <w:szCs w:val="27"/>
          <w:shd w:val="clear" w:color="auto" w:fill="FFFFFF"/>
        </w:rPr>
        <w:t xml:space="preserve">Згідно абзацу четвертому статті 4 Методики проведення фінансово-економічних розрахунків під час підготовки проєкту акта Кабінету Міністрів України та проєкту закону, що вноситься у порядку законодавчої ініціативи Кабінетом Міністрів України на розгляд Верховної Ради України, затвердженої наказом Міністерства фінансів України Міністерства фінансів України від 21.03.2008 №428 (у редакції наказу </w:t>
      </w:r>
      <w:r w:rsidR="00C43D25" w:rsidRPr="00C43D25">
        <w:rPr>
          <w:rFonts w:ascii="Times New Roman" w:hAnsi="Times New Roman"/>
          <w:bCs/>
          <w:sz w:val="27"/>
          <w:szCs w:val="27"/>
          <w:shd w:val="clear" w:color="auto" w:fill="FFFFFF"/>
        </w:rPr>
        <w:t xml:space="preserve">Мінфіну </w:t>
      </w:r>
      <w:r w:rsidRPr="00C43D25">
        <w:rPr>
          <w:rFonts w:ascii="Times New Roman" w:hAnsi="Times New Roman"/>
          <w:bCs/>
          <w:sz w:val="27"/>
          <w:szCs w:val="27"/>
          <w:shd w:val="clear" w:color="auto" w:fill="FFFFFF"/>
        </w:rPr>
        <w:t xml:space="preserve">від 06.12.2019 №510), її положення не застосовуються під час </w:t>
      </w:r>
      <w:r w:rsidRPr="00C43D25">
        <w:rPr>
          <w:rFonts w:ascii="Times New Roman" w:hAnsi="Times New Roman"/>
          <w:sz w:val="27"/>
          <w:szCs w:val="27"/>
          <w:shd w:val="clear" w:color="auto" w:fill="FFFFFF"/>
        </w:rPr>
        <w:t>підготовки проекту закону про Державний бюджет України, Бюджетної декларації, змін до них, комплексних змін до </w:t>
      </w:r>
      <w:hyperlink r:id="rId7" w:tgtFrame="_blank" w:history="1">
        <w:r w:rsidRPr="00C43D25">
          <w:rPr>
            <w:rStyle w:val="ac"/>
            <w:rFonts w:ascii="Times New Roman" w:hAnsi="Times New Roman"/>
            <w:color w:val="auto"/>
            <w:sz w:val="27"/>
            <w:szCs w:val="27"/>
            <w:u w:val="none"/>
            <w:shd w:val="clear" w:color="auto" w:fill="FFFFFF"/>
          </w:rPr>
          <w:t>Бюджетного кодексу України</w:t>
        </w:r>
      </w:hyperlink>
      <w:r w:rsidRPr="00C43D25">
        <w:rPr>
          <w:rFonts w:ascii="Times New Roman" w:hAnsi="Times New Roman"/>
          <w:sz w:val="27"/>
          <w:szCs w:val="27"/>
          <w:shd w:val="clear" w:color="auto" w:fill="FFFFFF"/>
        </w:rPr>
        <w:t>.</w:t>
      </w:r>
    </w:p>
    <w:p w:rsidR="009C2E93" w:rsidRPr="008936EE" w:rsidRDefault="005A669C" w:rsidP="00547E63">
      <w:pPr>
        <w:pStyle w:val="1"/>
        <w:shd w:val="clear" w:color="auto" w:fill="FFFFFF"/>
        <w:spacing w:after="0" w:line="240" w:lineRule="auto"/>
        <w:ind w:left="0" w:right="-142" w:firstLine="567"/>
        <w:jc w:val="both"/>
        <w:rPr>
          <w:rFonts w:ascii="Times New Roman" w:hAnsi="Times New Roman"/>
          <w:bCs/>
          <w:spacing w:val="-2"/>
          <w:sz w:val="27"/>
          <w:szCs w:val="27"/>
          <w:lang w:val="uk-UA"/>
        </w:rPr>
      </w:pPr>
      <w:r w:rsidRPr="008936EE">
        <w:rPr>
          <w:rFonts w:ascii="Times New Roman" w:hAnsi="Times New Roman"/>
          <w:bCs/>
          <w:spacing w:val="-2"/>
          <w:sz w:val="27"/>
          <w:szCs w:val="27"/>
          <w:lang w:val="uk-UA"/>
        </w:rPr>
        <w:t>Реалізація проекту Закону не має впливу на видатки та доходи державного бюджету, оскільки п</w:t>
      </w:r>
      <w:r w:rsidR="009C2E93" w:rsidRPr="008936EE">
        <w:rPr>
          <w:rFonts w:ascii="Times New Roman" w:hAnsi="Times New Roman"/>
          <w:bCs/>
          <w:spacing w:val="-2"/>
          <w:sz w:val="27"/>
          <w:szCs w:val="27"/>
          <w:lang w:val="uk-UA"/>
        </w:rPr>
        <w:t xml:space="preserve">ередбачається, що державні гарантії на портфельній основі </w:t>
      </w:r>
      <w:r w:rsidR="009C2E93" w:rsidRPr="008936EE">
        <w:rPr>
          <w:rFonts w:ascii="Times New Roman" w:hAnsi="Times New Roman"/>
          <w:bCs/>
          <w:spacing w:val="-2"/>
          <w:sz w:val="27"/>
          <w:szCs w:val="27"/>
          <w:lang w:val="uk-UA"/>
        </w:rPr>
        <w:lastRenderedPageBreak/>
        <w:t xml:space="preserve">надаватимуться </w:t>
      </w:r>
      <w:r w:rsidR="003D5A30" w:rsidRPr="008936EE">
        <w:rPr>
          <w:rFonts w:ascii="Times New Roman" w:hAnsi="Times New Roman"/>
          <w:bCs/>
          <w:spacing w:val="-2"/>
          <w:sz w:val="27"/>
          <w:szCs w:val="27"/>
          <w:lang w:val="uk-UA"/>
        </w:rPr>
        <w:t>у</w:t>
      </w:r>
      <w:r w:rsidR="009C2E93" w:rsidRPr="008936EE">
        <w:rPr>
          <w:rFonts w:ascii="Times New Roman" w:hAnsi="Times New Roman"/>
          <w:bCs/>
          <w:spacing w:val="-2"/>
          <w:sz w:val="27"/>
          <w:szCs w:val="27"/>
          <w:lang w:val="uk-UA"/>
        </w:rPr>
        <w:t xml:space="preserve"> межах</w:t>
      </w:r>
      <w:r w:rsidR="003D5A30" w:rsidRPr="008936EE">
        <w:rPr>
          <w:rFonts w:ascii="Times New Roman" w:hAnsi="Times New Roman"/>
          <w:bCs/>
          <w:spacing w:val="-2"/>
          <w:sz w:val="27"/>
          <w:szCs w:val="27"/>
          <w:lang w:val="uk-UA"/>
        </w:rPr>
        <w:t xml:space="preserve"> і за напрямами</w:t>
      </w:r>
      <w:r w:rsidR="009C2E93" w:rsidRPr="008936EE">
        <w:rPr>
          <w:rFonts w:ascii="Times New Roman" w:hAnsi="Times New Roman"/>
          <w:bCs/>
          <w:spacing w:val="-2"/>
          <w:sz w:val="27"/>
          <w:szCs w:val="27"/>
          <w:lang w:val="uk-UA"/>
        </w:rPr>
        <w:t xml:space="preserve">, </w:t>
      </w:r>
      <w:r w:rsidR="003D5A30" w:rsidRPr="008936EE">
        <w:rPr>
          <w:rFonts w:ascii="Times New Roman" w:hAnsi="Times New Roman"/>
          <w:bCs/>
          <w:spacing w:val="-2"/>
          <w:sz w:val="27"/>
          <w:szCs w:val="27"/>
          <w:lang w:val="uk-UA"/>
        </w:rPr>
        <w:t xml:space="preserve">що </w:t>
      </w:r>
      <w:r w:rsidR="00A041B8" w:rsidRPr="008936EE">
        <w:rPr>
          <w:rFonts w:ascii="Times New Roman" w:hAnsi="Times New Roman"/>
          <w:bCs/>
          <w:spacing w:val="-2"/>
          <w:sz w:val="27"/>
          <w:szCs w:val="27"/>
          <w:lang w:val="uk-UA"/>
        </w:rPr>
        <w:t>визнач</w:t>
      </w:r>
      <w:r w:rsidR="003D5A30" w:rsidRPr="008936EE">
        <w:rPr>
          <w:rFonts w:ascii="Times New Roman" w:hAnsi="Times New Roman"/>
          <w:bCs/>
          <w:spacing w:val="-2"/>
          <w:sz w:val="27"/>
          <w:szCs w:val="27"/>
          <w:lang w:val="uk-UA"/>
        </w:rPr>
        <w:t>атимуться у</w:t>
      </w:r>
      <w:r w:rsidR="00A041B8" w:rsidRPr="008936EE">
        <w:rPr>
          <w:rFonts w:ascii="Times New Roman" w:hAnsi="Times New Roman"/>
          <w:bCs/>
          <w:spacing w:val="-2"/>
          <w:sz w:val="27"/>
          <w:szCs w:val="27"/>
          <w:lang w:val="uk-UA"/>
        </w:rPr>
        <w:t xml:space="preserve"> закон</w:t>
      </w:r>
      <w:r w:rsidR="003D5A30" w:rsidRPr="008936EE">
        <w:rPr>
          <w:rFonts w:ascii="Times New Roman" w:hAnsi="Times New Roman"/>
          <w:bCs/>
          <w:spacing w:val="-2"/>
          <w:sz w:val="27"/>
          <w:szCs w:val="27"/>
          <w:lang w:val="uk-UA"/>
        </w:rPr>
        <w:t>і</w:t>
      </w:r>
      <w:r w:rsidR="00A041B8" w:rsidRPr="008936EE">
        <w:rPr>
          <w:rFonts w:ascii="Times New Roman" w:hAnsi="Times New Roman"/>
          <w:bCs/>
          <w:spacing w:val="-2"/>
          <w:sz w:val="27"/>
          <w:szCs w:val="27"/>
          <w:lang w:val="uk-UA"/>
        </w:rPr>
        <w:t xml:space="preserve"> про Державний бюджет </w:t>
      </w:r>
      <w:r w:rsidR="003D5A30" w:rsidRPr="008936EE">
        <w:rPr>
          <w:rFonts w:ascii="Times New Roman" w:hAnsi="Times New Roman"/>
          <w:bCs/>
          <w:spacing w:val="-2"/>
          <w:sz w:val="27"/>
          <w:szCs w:val="27"/>
          <w:lang w:val="uk-UA"/>
        </w:rPr>
        <w:t xml:space="preserve">України </w:t>
      </w:r>
      <w:r w:rsidR="00A041B8" w:rsidRPr="008936EE">
        <w:rPr>
          <w:rFonts w:ascii="Times New Roman" w:hAnsi="Times New Roman"/>
          <w:bCs/>
          <w:spacing w:val="-2"/>
          <w:sz w:val="27"/>
          <w:szCs w:val="27"/>
          <w:lang w:val="uk-UA"/>
        </w:rPr>
        <w:t>на відповідний бюджетний період</w:t>
      </w:r>
      <w:r w:rsidR="009C2E93" w:rsidRPr="008936EE">
        <w:rPr>
          <w:rFonts w:ascii="Times New Roman" w:hAnsi="Times New Roman"/>
          <w:bCs/>
          <w:spacing w:val="-2"/>
          <w:sz w:val="27"/>
          <w:szCs w:val="27"/>
          <w:lang w:val="uk-UA"/>
        </w:rPr>
        <w:t>.</w:t>
      </w:r>
      <w:r w:rsidR="009572A9" w:rsidRPr="008936EE">
        <w:rPr>
          <w:rFonts w:ascii="Times New Roman" w:hAnsi="Times New Roman"/>
          <w:bCs/>
          <w:spacing w:val="-2"/>
          <w:sz w:val="27"/>
          <w:szCs w:val="27"/>
          <w:lang w:val="uk-UA"/>
        </w:rPr>
        <w:t xml:space="preserve"> </w:t>
      </w:r>
    </w:p>
    <w:p w:rsidR="009C2E93" w:rsidRPr="008936EE" w:rsidRDefault="003D5A30" w:rsidP="00547E63">
      <w:pPr>
        <w:pStyle w:val="1"/>
        <w:shd w:val="clear" w:color="auto" w:fill="FFFFFF"/>
        <w:spacing w:after="0" w:line="240" w:lineRule="auto"/>
        <w:ind w:left="0" w:right="-142" w:firstLine="567"/>
        <w:jc w:val="both"/>
        <w:rPr>
          <w:rFonts w:ascii="Times New Roman" w:hAnsi="Times New Roman"/>
          <w:bCs/>
          <w:spacing w:val="-2"/>
          <w:sz w:val="27"/>
          <w:szCs w:val="27"/>
          <w:lang w:val="uk-UA"/>
        </w:rPr>
      </w:pPr>
      <w:r w:rsidRPr="008936EE">
        <w:rPr>
          <w:rFonts w:ascii="Times New Roman" w:hAnsi="Times New Roman"/>
          <w:bCs/>
          <w:spacing w:val="-2"/>
          <w:sz w:val="27"/>
          <w:szCs w:val="27"/>
          <w:lang w:val="uk-UA"/>
        </w:rPr>
        <w:t>За даними інформаційної системи органів ДПС, станом на 01.04.2019 на обліку в контролюючих органах знаходиться 2,1 тис. платників податків юридичних осіб та самозайнятих фізичних осіб на підконтрольній території України, які мають податковий борг на тимчасово окупованій території АР Крим та м. Севастополь на загальну суму 156,8 млн грн (загальна сума податкового боргу на такій території становить 2 516,8 млн гр</w:t>
      </w:r>
      <w:r w:rsidR="001D6777" w:rsidRPr="008936EE">
        <w:rPr>
          <w:rFonts w:ascii="Times New Roman" w:hAnsi="Times New Roman"/>
          <w:bCs/>
          <w:spacing w:val="-2"/>
          <w:sz w:val="27"/>
          <w:szCs w:val="27"/>
          <w:lang w:val="uk-UA"/>
        </w:rPr>
        <w:t>ивень</w:t>
      </w:r>
      <w:r w:rsidRPr="008936EE">
        <w:rPr>
          <w:rFonts w:ascii="Times New Roman" w:hAnsi="Times New Roman"/>
          <w:bCs/>
          <w:spacing w:val="-2"/>
          <w:sz w:val="27"/>
          <w:szCs w:val="27"/>
          <w:lang w:val="uk-UA"/>
        </w:rPr>
        <w:t>).</w:t>
      </w:r>
      <w:r w:rsidRPr="008936EE">
        <w:rPr>
          <w:rFonts w:ascii="Times New Roman" w:hAnsi="Times New Roman"/>
          <w:sz w:val="27"/>
          <w:szCs w:val="27"/>
        </w:rPr>
        <w:t xml:space="preserve"> </w:t>
      </w:r>
      <w:r w:rsidRPr="008936EE">
        <w:rPr>
          <w:rFonts w:ascii="Times New Roman" w:hAnsi="Times New Roman"/>
          <w:bCs/>
          <w:spacing w:val="-2"/>
          <w:sz w:val="27"/>
          <w:szCs w:val="27"/>
          <w:lang w:val="uk-UA"/>
        </w:rPr>
        <w:t>Реалізація законопро</w:t>
      </w:r>
      <w:r w:rsidR="001D6777" w:rsidRPr="008936EE">
        <w:rPr>
          <w:rFonts w:ascii="Times New Roman" w:hAnsi="Times New Roman"/>
          <w:bCs/>
          <w:spacing w:val="-2"/>
          <w:sz w:val="27"/>
          <w:szCs w:val="27"/>
          <w:lang w:val="uk-UA"/>
        </w:rPr>
        <w:t>ек</w:t>
      </w:r>
      <w:r w:rsidRPr="008936EE">
        <w:rPr>
          <w:rFonts w:ascii="Times New Roman" w:hAnsi="Times New Roman"/>
          <w:bCs/>
          <w:spacing w:val="-2"/>
          <w:sz w:val="27"/>
          <w:szCs w:val="27"/>
          <w:lang w:val="uk-UA"/>
        </w:rPr>
        <w:t>ту створить можливість для сплати боргів з місцевих податків та зборів, що виникли до дати тимчасової окупації, платниками-резидентами.</w:t>
      </w:r>
    </w:p>
    <w:p w:rsidR="003D5A30" w:rsidRPr="008936EE" w:rsidRDefault="003D5A30" w:rsidP="00547E63">
      <w:pPr>
        <w:pStyle w:val="1"/>
        <w:shd w:val="clear" w:color="auto" w:fill="FFFFFF"/>
        <w:spacing w:after="0" w:line="240" w:lineRule="auto"/>
        <w:ind w:left="0" w:right="-142" w:firstLine="567"/>
        <w:jc w:val="both"/>
        <w:rPr>
          <w:rFonts w:ascii="Times New Roman" w:hAnsi="Times New Roman"/>
          <w:bCs/>
          <w:spacing w:val="-2"/>
          <w:sz w:val="27"/>
          <w:szCs w:val="27"/>
          <w:lang w:val="uk-UA"/>
        </w:rPr>
      </w:pPr>
    </w:p>
    <w:p w:rsidR="009C2E93" w:rsidRPr="008936EE" w:rsidRDefault="009C2E93" w:rsidP="00547E63">
      <w:pPr>
        <w:pStyle w:val="1"/>
        <w:shd w:val="clear" w:color="auto" w:fill="FFFFFF"/>
        <w:spacing w:after="0" w:line="240" w:lineRule="auto"/>
        <w:ind w:left="0" w:right="-142" w:firstLine="567"/>
        <w:jc w:val="both"/>
        <w:rPr>
          <w:rFonts w:ascii="Times New Roman" w:hAnsi="Times New Roman"/>
          <w:b/>
          <w:bCs/>
          <w:spacing w:val="-2"/>
          <w:sz w:val="27"/>
          <w:szCs w:val="27"/>
          <w:lang w:val="uk-UA"/>
        </w:rPr>
      </w:pPr>
      <w:r w:rsidRPr="008936EE">
        <w:rPr>
          <w:rFonts w:ascii="Times New Roman" w:hAnsi="Times New Roman"/>
          <w:b/>
          <w:bCs/>
          <w:spacing w:val="-2"/>
          <w:sz w:val="27"/>
          <w:szCs w:val="27"/>
          <w:lang w:val="uk-UA"/>
        </w:rPr>
        <w:t>5. Позиція заінтересованих сторін</w:t>
      </w:r>
    </w:p>
    <w:p w:rsidR="009C2E93" w:rsidRPr="008936EE" w:rsidRDefault="009C2E93" w:rsidP="00547E63">
      <w:pPr>
        <w:spacing w:after="0" w:line="240" w:lineRule="auto"/>
        <w:ind w:right="-142" w:firstLine="567"/>
        <w:jc w:val="both"/>
        <w:rPr>
          <w:rFonts w:ascii="Times New Roman" w:hAnsi="Times New Roman"/>
          <w:sz w:val="27"/>
          <w:szCs w:val="27"/>
        </w:rPr>
      </w:pPr>
      <w:r w:rsidRPr="008936EE">
        <w:rPr>
          <w:rFonts w:ascii="Times New Roman" w:hAnsi="Times New Roman"/>
          <w:sz w:val="27"/>
          <w:szCs w:val="27"/>
        </w:rPr>
        <w:t>Реалізація проекту акта не матиме впливу на інтереси окремих верств (груп) населення, об’єднаних спільними інтересами, суб’єктів господарювання.</w:t>
      </w:r>
    </w:p>
    <w:p w:rsidR="009C2E93" w:rsidRPr="008936EE" w:rsidRDefault="009C2E93" w:rsidP="00547E63">
      <w:pPr>
        <w:spacing w:after="0" w:line="240" w:lineRule="auto"/>
        <w:ind w:right="-142" w:firstLine="567"/>
        <w:jc w:val="both"/>
        <w:rPr>
          <w:rFonts w:ascii="Times New Roman" w:hAnsi="Times New Roman"/>
          <w:sz w:val="27"/>
          <w:szCs w:val="27"/>
        </w:rPr>
      </w:pPr>
      <w:r w:rsidRPr="008936EE">
        <w:rPr>
          <w:rFonts w:ascii="Times New Roman" w:hAnsi="Times New Roman"/>
          <w:sz w:val="27"/>
          <w:szCs w:val="27"/>
        </w:rPr>
        <w:t>Про</w:t>
      </w:r>
      <w:r w:rsidR="003D5A30" w:rsidRPr="008936EE">
        <w:rPr>
          <w:rFonts w:ascii="Times New Roman" w:hAnsi="Times New Roman"/>
          <w:sz w:val="27"/>
          <w:szCs w:val="27"/>
        </w:rPr>
        <w:t>е</w:t>
      </w:r>
      <w:r w:rsidRPr="008936EE">
        <w:rPr>
          <w:rFonts w:ascii="Times New Roman" w:hAnsi="Times New Roman"/>
          <w:sz w:val="27"/>
          <w:szCs w:val="27"/>
        </w:rPr>
        <w:t>кт акта не стосується питань функціонування місцевого самоврядування, соціально-трудової сфери та сфери наукової та науково-технічної діяльності.</w:t>
      </w:r>
    </w:p>
    <w:p w:rsidR="009C2E93" w:rsidRPr="008936EE" w:rsidRDefault="009C2E93" w:rsidP="00547E63">
      <w:pPr>
        <w:pStyle w:val="1"/>
        <w:shd w:val="clear" w:color="auto" w:fill="FFFFFF"/>
        <w:spacing w:after="0" w:line="240" w:lineRule="auto"/>
        <w:ind w:left="0" w:right="-142" w:firstLine="567"/>
        <w:jc w:val="both"/>
        <w:rPr>
          <w:rFonts w:ascii="Times New Roman" w:hAnsi="Times New Roman"/>
          <w:bCs/>
          <w:spacing w:val="-2"/>
          <w:sz w:val="27"/>
          <w:szCs w:val="27"/>
          <w:lang w:val="uk-UA"/>
        </w:rPr>
      </w:pPr>
    </w:p>
    <w:p w:rsidR="009C2E93" w:rsidRPr="008936EE" w:rsidRDefault="009C2E93" w:rsidP="00547E63">
      <w:pPr>
        <w:pStyle w:val="1"/>
        <w:shd w:val="clear" w:color="auto" w:fill="FFFFFF"/>
        <w:spacing w:after="0" w:line="240" w:lineRule="auto"/>
        <w:ind w:left="0" w:right="-142" w:firstLine="567"/>
        <w:jc w:val="both"/>
        <w:rPr>
          <w:rFonts w:ascii="Times New Roman" w:hAnsi="Times New Roman"/>
          <w:b/>
          <w:bCs/>
          <w:spacing w:val="-2"/>
          <w:sz w:val="27"/>
          <w:szCs w:val="27"/>
          <w:lang w:val="uk-UA"/>
        </w:rPr>
      </w:pPr>
      <w:r w:rsidRPr="008936EE">
        <w:rPr>
          <w:rFonts w:ascii="Times New Roman" w:hAnsi="Times New Roman"/>
          <w:b/>
          <w:bCs/>
          <w:spacing w:val="-2"/>
          <w:sz w:val="27"/>
          <w:szCs w:val="27"/>
          <w:lang w:val="uk-UA"/>
        </w:rPr>
        <w:t>6. Прогноз впливу</w:t>
      </w:r>
    </w:p>
    <w:p w:rsidR="009C2E93" w:rsidRPr="008936EE" w:rsidRDefault="009C2E93" w:rsidP="00547E63">
      <w:pPr>
        <w:pStyle w:val="1"/>
        <w:shd w:val="clear" w:color="auto" w:fill="FFFFFF"/>
        <w:spacing w:after="0" w:line="240" w:lineRule="auto"/>
        <w:ind w:left="0" w:right="-142" w:firstLine="567"/>
        <w:jc w:val="both"/>
        <w:rPr>
          <w:rFonts w:ascii="Times New Roman" w:hAnsi="Times New Roman"/>
          <w:bCs/>
          <w:spacing w:val="-2"/>
          <w:sz w:val="27"/>
          <w:szCs w:val="27"/>
          <w:lang w:val="uk-UA"/>
        </w:rPr>
      </w:pPr>
      <w:r w:rsidRPr="008936EE">
        <w:rPr>
          <w:rFonts w:ascii="Times New Roman" w:hAnsi="Times New Roman"/>
          <w:bCs/>
          <w:spacing w:val="-2"/>
          <w:sz w:val="27"/>
          <w:szCs w:val="27"/>
          <w:lang w:val="uk-UA"/>
        </w:rPr>
        <w:t>Про</w:t>
      </w:r>
      <w:r w:rsidR="003D5A30" w:rsidRPr="008936EE">
        <w:rPr>
          <w:rFonts w:ascii="Times New Roman" w:hAnsi="Times New Roman"/>
          <w:bCs/>
          <w:spacing w:val="-2"/>
          <w:sz w:val="27"/>
          <w:szCs w:val="27"/>
          <w:lang w:val="uk-UA"/>
        </w:rPr>
        <w:t>е</w:t>
      </w:r>
      <w:r w:rsidRPr="008936EE">
        <w:rPr>
          <w:rFonts w:ascii="Times New Roman" w:hAnsi="Times New Roman"/>
          <w:bCs/>
          <w:spacing w:val="-2"/>
          <w:sz w:val="27"/>
          <w:szCs w:val="27"/>
          <w:lang w:val="uk-UA"/>
        </w:rPr>
        <w:t>кт Закону не має впливу на сфери суспільних відносин, зокрема регуляторного впливу.</w:t>
      </w:r>
    </w:p>
    <w:p w:rsidR="009C2E93" w:rsidRPr="008936EE" w:rsidRDefault="009C2E93" w:rsidP="00547E63">
      <w:pPr>
        <w:pStyle w:val="1"/>
        <w:shd w:val="clear" w:color="auto" w:fill="FFFFFF"/>
        <w:spacing w:after="0" w:line="240" w:lineRule="auto"/>
        <w:ind w:left="0" w:right="-142" w:firstLine="567"/>
        <w:jc w:val="both"/>
        <w:rPr>
          <w:rFonts w:ascii="Times New Roman" w:hAnsi="Times New Roman"/>
          <w:b/>
          <w:bCs/>
          <w:spacing w:val="-2"/>
          <w:sz w:val="27"/>
          <w:szCs w:val="27"/>
          <w:lang w:val="uk-UA"/>
        </w:rPr>
      </w:pPr>
    </w:p>
    <w:p w:rsidR="009C2E93" w:rsidRPr="008936EE" w:rsidRDefault="009C2E93" w:rsidP="00547E63">
      <w:pPr>
        <w:widowControl w:val="0"/>
        <w:spacing w:after="0" w:line="240" w:lineRule="auto"/>
        <w:ind w:right="-142" w:firstLine="567"/>
        <w:jc w:val="both"/>
        <w:rPr>
          <w:rFonts w:ascii="Times New Roman" w:hAnsi="Times New Roman"/>
          <w:b/>
          <w:sz w:val="27"/>
          <w:szCs w:val="27"/>
        </w:rPr>
      </w:pPr>
      <w:r w:rsidRPr="008936EE">
        <w:rPr>
          <w:rFonts w:ascii="Times New Roman" w:hAnsi="Times New Roman"/>
          <w:b/>
          <w:sz w:val="27"/>
          <w:szCs w:val="27"/>
        </w:rPr>
        <w:t>7. Позиція заінтересованих органів</w:t>
      </w:r>
    </w:p>
    <w:p w:rsidR="009C2E93" w:rsidRPr="008936EE" w:rsidRDefault="009C2E93" w:rsidP="00547E63">
      <w:pPr>
        <w:pStyle w:val="10"/>
        <w:ind w:right="-142" w:firstLine="567"/>
        <w:jc w:val="both"/>
        <w:rPr>
          <w:sz w:val="27"/>
          <w:szCs w:val="27"/>
        </w:rPr>
      </w:pPr>
      <w:r w:rsidRPr="008936EE">
        <w:rPr>
          <w:sz w:val="27"/>
          <w:szCs w:val="27"/>
        </w:rPr>
        <w:t>Про</w:t>
      </w:r>
      <w:r w:rsidR="003D5A30" w:rsidRPr="008936EE">
        <w:rPr>
          <w:sz w:val="27"/>
          <w:szCs w:val="27"/>
        </w:rPr>
        <w:t>е</w:t>
      </w:r>
      <w:r w:rsidRPr="008936EE">
        <w:rPr>
          <w:sz w:val="27"/>
          <w:szCs w:val="27"/>
        </w:rPr>
        <w:t>кт акта  погодже</w:t>
      </w:r>
      <w:r w:rsidR="00815B46" w:rsidRPr="008936EE">
        <w:rPr>
          <w:sz w:val="27"/>
          <w:szCs w:val="27"/>
        </w:rPr>
        <w:t>но</w:t>
      </w:r>
      <w:r w:rsidRPr="008936EE">
        <w:rPr>
          <w:sz w:val="27"/>
          <w:szCs w:val="27"/>
        </w:rPr>
        <w:t xml:space="preserve"> Міністерством розвитку економіки, торгівлі та сільського господарства </w:t>
      </w:r>
      <w:r w:rsidR="00815B46" w:rsidRPr="008936EE">
        <w:rPr>
          <w:sz w:val="27"/>
          <w:szCs w:val="27"/>
        </w:rPr>
        <w:t xml:space="preserve">України 01.06.2020 із зауваженнями, які враховано частково. </w:t>
      </w:r>
      <w:r w:rsidR="003D5A30" w:rsidRPr="008936EE">
        <w:rPr>
          <w:sz w:val="27"/>
          <w:szCs w:val="27"/>
        </w:rPr>
        <w:t>Міністерством юстиції</w:t>
      </w:r>
      <w:r w:rsidR="00815B46" w:rsidRPr="008936EE">
        <w:rPr>
          <w:sz w:val="27"/>
          <w:szCs w:val="27"/>
        </w:rPr>
        <w:t xml:space="preserve"> України 28.05.2020 надано висновок за результатами правової експертизи щодо невідповідності вимогам нормопроектувальної техніки</w:t>
      </w:r>
      <w:r w:rsidRPr="008936EE">
        <w:rPr>
          <w:sz w:val="27"/>
          <w:szCs w:val="27"/>
        </w:rPr>
        <w:t>.</w:t>
      </w:r>
    </w:p>
    <w:p w:rsidR="009C2E93" w:rsidRPr="008936EE" w:rsidRDefault="009C2E93" w:rsidP="00547E63">
      <w:pPr>
        <w:pStyle w:val="10"/>
        <w:ind w:right="-142" w:firstLine="567"/>
        <w:jc w:val="both"/>
        <w:rPr>
          <w:b/>
          <w:sz w:val="27"/>
          <w:szCs w:val="27"/>
        </w:rPr>
      </w:pPr>
    </w:p>
    <w:p w:rsidR="009C2E93" w:rsidRPr="008936EE" w:rsidRDefault="009C2E93" w:rsidP="00547E63">
      <w:pPr>
        <w:pStyle w:val="10"/>
        <w:ind w:right="-142" w:firstLine="567"/>
        <w:jc w:val="both"/>
        <w:rPr>
          <w:b/>
          <w:sz w:val="27"/>
          <w:szCs w:val="27"/>
        </w:rPr>
      </w:pPr>
      <w:r w:rsidRPr="008936EE">
        <w:rPr>
          <w:b/>
          <w:sz w:val="27"/>
          <w:szCs w:val="27"/>
        </w:rPr>
        <w:t>8. Ризики та обмеження</w:t>
      </w:r>
    </w:p>
    <w:p w:rsidR="009C2E93" w:rsidRPr="008936EE" w:rsidRDefault="009C2E93" w:rsidP="00547E63">
      <w:pPr>
        <w:pStyle w:val="10"/>
        <w:ind w:right="-142" w:firstLine="567"/>
        <w:jc w:val="both"/>
        <w:rPr>
          <w:sz w:val="27"/>
          <w:szCs w:val="27"/>
        </w:rPr>
      </w:pPr>
      <w:r w:rsidRPr="008936EE">
        <w:rPr>
          <w:sz w:val="27"/>
          <w:szCs w:val="27"/>
        </w:rPr>
        <w:t>У про</w:t>
      </w:r>
      <w:r w:rsidR="003D5A30" w:rsidRPr="008936EE">
        <w:rPr>
          <w:sz w:val="27"/>
          <w:szCs w:val="27"/>
        </w:rPr>
        <w:t>ек</w:t>
      </w:r>
      <w:r w:rsidRPr="008936EE">
        <w:rPr>
          <w:sz w:val="27"/>
          <w:szCs w:val="27"/>
        </w:rPr>
        <w:t>ті Закону відсутні положення, які містять ознаки дискримінації.</w:t>
      </w:r>
    </w:p>
    <w:p w:rsidR="009C2E93" w:rsidRPr="008936EE" w:rsidRDefault="009C2E93" w:rsidP="00547E63">
      <w:pPr>
        <w:pStyle w:val="10"/>
        <w:ind w:right="-142" w:firstLine="567"/>
        <w:jc w:val="both"/>
        <w:rPr>
          <w:sz w:val="27"/>
          <w:szCs w:val="27"/>
        </w:rPr>
      </w:pPr>
    </w:p>
    <w:p w:rsidR="009C2E93" w:rsidRPr="008936EE" w:rsidRDefault="009C2E93" w:rsidP="00547E63">
      <w:pPr>
        <w:spacing w:after="0" w:line="240" w:lineRule="auto"/>
        <w:ind w:right="-142" w:firstLine="567"/>
        <w:jc w:val="both"/>
        <w:rPr>
          <w:rFonts w:ascii="Times New Roman" w:hAnsi="Times New Roman"/>
          <w:b/>
          <w:sz w:val="27"/>
          <w:szCs w:val="27"/>
        </w:rPr>
      </w:pPr>
      <w:r w:rsidRPr="008936EE">
        <w:rPr>
          <w:rFonts w:ascii="Times New Roman" w:hAnsi="Times New Roman"/>
          <w:b/>
          <w:sz w:val="27"/>
          <w:szCs w:val="27"/>
        </w:rPr>
        <w:t>9. Підстава розроблення проекту акта</w:t>
      </w:r>
    </w:p>
    <w:p w:rsidR="009C2E93" w:rsidRPr="008936EE" w:rsidRDefault="003D5A30" w:rsidP="00547E63">
      <w:pPr>
        <w:spacing w:after="0" w:line="240" w:lineRule="auto"/>
        <w:ind w:right="-142" w:firstLine="567"/>
        <w:jc w:val="both"/>
        <w:rPr>
          <w:rFonts w:ascii="Times New Roman" w:hAnsi="Times New Roman"/>
          <w:bCs/>
          <w:sz w:val="27"/>
          <w:szCs w:val="27"/>
          <w:shd w:val="clear" w:color="auto" w:fill="FFFFFF"/>
        </w:rPr>
      </w:pPr>
      <w:r w:rsidRPr="008936EE">
        <w:rPr>
          <w:rFonts w:ascii="Times New Roman" w:hAnsi="Times New Roman"/>
          <w:bCs/>
          <w:sz w:val="27"/>
          <w:szCs w:val="27"/>
          <w:shd w:val="clear" w:color="auto" w:fill="FFFFFF"/>
        </w:rPr>
        <w:t>Проект акт</w:t>
      </w:r>
      <w:r w:rsidR="001D6777" w:rsidRPr="008936EE">
        <w:rPr>
          <w:rFonts w:ascii="Times New Roman" w:hAnsi="Times New Roman"/>
          <w:bCs/>
          <w:sz w:val="27"/>
          <w:szCs w:val="27"/>
          <w:shd w:val="clear" w:color="auto" w:fill="FFFFFF"/>
        </w:rPr>
        <w:t>а</w:t>
      </w:r>
      <w:r w:rsidRPr="008936EE">
        <w:rPr>
          <w:rFonts w:ascii="Times New Roman" w:hAnsi="Times New Roman"/>
          <w:bCs/>
          <w:sz w:val="27"/>
          <w:szCs w:val="27"/>
          <w:shd w:val="clear" w:color="auto" w:fill="FFFFFF"/>
        </w:rPr>
        <w:t xml:space="preserve"> розроблено за власною ініціативою</w:t>
      </w:r>
      <w:r w:rsidR="009C2E93" w:rsidRPr="008936EE">
        <w:rPr>
          <w:rFonts w:ascii="Times New Roman" w:hAnsi="Times New Roman"/>
          <w:bCs/>
          <w:sz w:val="27"/>
          <w:szCs w:val="27"/>
          <w:shd w:val="clear" w:color="auto" w:fill="FFFFFF"/>
        </w:rPr>
        <w:t>.</w:t>
      </w:r>
    </w:p>
    <w:p w:rsidR="009C2E93" w:rsidRPr="008936EE" w:rsidRDefault="009C2E93" w:rsidP="00547E63">
      <w:pPr>
        <w:pStyle w:val="a5"/>
        <w:spacing w:before="0" w:beforeAutospacing="0" w:after="0" w:afterAutospacing="0"/>
        <w:ind w:right="-142" w:firstLine="567"/>
        <w:jc w:val="both"/>
        <w:rPr>
          <w:sz w:val="27"/>
          <w:szCs w:val="27"/>
        </w:rPr>
      </w:pPr>
    </w:p>
    <w:p w:rsidR="009C2E93" w:rsidRPr="008936EE" w:rsidRDefault="009C2E93" w:rsidP="00547E63">
      <w:pPr>
        <w:spacing w:after="0" w:line="240" w:lineRule="auto"/>
        <w:ind w:right="-142" w:firstLine="567"/>
        <w:jc w:val="both"/>
        <w:rPr>
          <w:rFonts w:ascii="Times New Roman" w:hAnsi="Times New Roman"/>
          <w:sz w:val="27"/>
          <w:szCs w:val="27"/>
        </w:rPr>
      </w:pPr>
    </w:p>
    <w:p w:rsidR="009C2E93" w:rsidRPr="008936EE" w:rsidRDefault="009C2E93" w:rsidP="00547E63">
      <w:pPr>
        <w:spacing w:after="0" w:line="240" w:lineRule="auto"/>
        <w:ind w:firstLine="567"/>
        <w:jc w:val="both"/>
        <w:rPr>
          <w:rFonts w:ascii="Times New Roman" w:hAnsi="Times New Roman"/>
          <w:sz w:val="27"/>
          <w:szCs w:val="27"/>
        </w:rPr>
      </w:pPr>
    </w:p>
    <w:p w:rsidR="009C2E93" w:rsidRPr="008936EE" w:rsidRDefault="009C2E93" w:rsidP="00547E63">
      <w:pPr>
        <w:tabs>
          <w:tab w:val="left" w:pos="1985"/>
        </w:tabs>
        <w:spacing w:after="0" w:line="240" w:lineRule="auto"/>
        <w:jc w:val="both"/>
        <w:rPr>
          <w:rFonts w:ascii="Times New Roman" w:hAnsi="Times New Roman"/>
          <w:b/>
          <w:sz w:val="27"/>
          <w:szCs w:val="27"/>
        </w:rPr>
      </w:pPr>
      <w:r w:rsidRPr="008936EE">
        <w:rPr>
          <w:rFonts w:ascii="Times New Roman" w:hAnsi="Times New Roman"/>
          <w:b/>
          <w:sz w:val="27"/>
          <w:szCs w:val="27"/>
        </w:rPr>
        <w:t>Міністр фінансів України</w:t>
      </w:r>
      <w:r w:rsidRPr="008936EE">
        <w:rPr>
          <w:rFonts w:ascii="Times New Roman" w:hAnsi="Times New Roman"/>
          <w:b/>
          <w:sz w:val="27"/>
          <w:szCs w:val="27"/>
        </w:rPr>
        <w:tab/>
      </w:r>
      <w:r w:rsidRPr="008936EE">
        <w:rPr>
          <w:rFonts w:ascii="Times New Roman" w:hAnsi="Times New Roman"/>
          <w:b/>
          <w:sz w:val="27"/>
          <w:szCs w:val="27"/>
        </w:rPr>
        <w:tab/>
        <w:t xml:space="preserve">             </w:t>
      </w:r>
      <w:r w:rsidRPr="008936EE">
        <w:rPr>
          <w:rFonts w:ascii="Times New Roman" w:hAnsi="Times New Roman"/>
          <w:b/>
          <w:sz w:val="27"/>
          <w:szCs w:val="27"/>
        </w:rPr>
        <w:tab/>
        <w:t xml:space="preserve">                  Сергій МАРЧЕНКО</w:t>
      </w:r>
    </w:p>
    <w:p w:rsidR="009C2E93" w:rsidRPr="008936EE" w:rsidRDefault="009C2E93" w:rsidP="00547E63">
      <w:pPr>
        <w:tabs>
          <w:tab w:val="left" w:pos="1985"/>
        </w:tabs>
        <w:spacing w:after="0" w:line="240" w:lineRule="auto"/>
        <w:ind w:firstLine="567"/>
        <w:jc w:val="both"/>
        <w:rPr>
          <w:rFonts w:ascii="Times New Roman" w:hAnsi="Times New Roman"/>
          <w:b/>
          <w:sz w:val="27"/>
          <w:szCs w:val="27"/>
        </w:rPr>
      </w:pPr>
    </w:p>
    <w:p w:rsidR="009C2E93" w:rsidRPr="008936EE" w:rsidRDefault="009C2E93" w:rsidP="00547E63">
      <w:pPr>
        <w:tabs>
          <w:tab w:val="left" w:pos="1985"/>
        </w:tabs>
        <w:spacing w:after="0" w:line="240" w:lineRule="auto"/>
        <w:ind w:firstLine="567"/>
        <w:jc w:val="both"/>
        <w:rPr>
          <w:rFonts w:ascii="Times New Roman" w:hAnsi="Times New Roman"/>
          <w:b/>
          <w:sz w:val="27"/>
          <w:szCs w:val="27"/>
        </w:rPr>
      </w:pPr>
    </w:p>
    <w:p w:rsidR="009C2E93" w:rsidRDefault="009C2E93" w:rsidP="00547E63">
      <w:pPr>
        <w:tabs>
          <w:tab w:val="left" w:pos="1985"/>
        </w:tabs>
        <w:spacing w:after="0" w:line="240" w:lineRule="auto"/>
        <w:jc w:val="both"/>
        <w:rPr>
          <w:rFonts w:ascii="Times New Roman" w:hAnsi="Times New Roman"/>
          <w:sz w:val="27"/>
          <w:szCs w:val="27"/>
        </w:rPr>
      </w:pPr>
      <w:r w:rsidRPr="008936EE">
        <w:rPr>
          <w:rFonts w:ascii="Times New Roman" w:hAnsi="Times New Roman"/>
          <w:sz w:val="27"/>
          <w:szCs w:val="27"/>
        </w:rPr>
        <w:t>___  ___________  2020 р.</w:t>
      </w:r>
    </w:p>
    <w:p w:rsidR="008936EE" w:rsidRPr="008936EE" w:rsidRDefault="008936EE" w:rsidP="00547E63">
      <w:pPr>
        <w:tabs>
          <w:tab w:val="left" w:pos="1985"/>
        </w:tabs>
        <w:spacing w:after="0" w:line="240" w:lineRule="auto"/>
        <w:jc w:val="both"/>
        <w:rPr>
          <w:rFonts w:ascii="Times New Roman" w:hAnsi="Times New Roman"/>
          <w:sz w:val="27"/>
          <w:szCs w:val="27"/>
        </w:rPr>
      </w:pPr>
    </w:p>
    <w:sectPr w:rsidR="008936EE" w:rsidRPr="008936EE" w:rsidSect="001D6777">
      <w:headerReference w:type="default" r:id="rId8"/>
      <w:footerReference w:type="default" r:id="rId9"/>
      <w:pgSz w:w="11906" w:h="16838"/>
      <w:pgMar w:top="851" w:right="566" w:bottom="1702" w:left="1701" w:header="564" w:footer="147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239D" w:rsidRDefault="0014239D">
      <w:pPr>
        <w:spacing w:after="0" w:line="240" w:lineRule="auto"/>
      </w:pPr>
      <w:r>
        <w:separator/>
      </w:r>
    </w:p>
  </w:endnote>
  <w:endnote w:type="continuationSeparator" w:id="0">
    <w:p w:rsidR="0014239D" w:rsidRDefault="00142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ntiqua">
    <w:altName w:val="Bahnschrift Light"/>
    <w:charset w:val="00"/>
    <w:family w:val="swiss"/>
    <w:pitch w:val="variable"/>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90B" w:rsidRDefault="0014239D">
    <w:pPr>
      <w:pStyle w:val="a6"/>
    </w:pPr>
  </w:p>
  <w:p w:rsidR="006F390B" w:rsidRDefault="0014239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239D" w:rsidRDefault="0014239D">
      <w:pPr>
        <w:spacing w:after="0" w:line="240" w:lineRule="auto"/>
      </w:pPr>
      <w:r>
        <w:separator/>
      </w:r>
    </w:p>
  </w:footnote>
  <w:footnote w:type="continuationSeparator" w:id="0">
    <w:p w:rsidR="0014239D" w:rsidRDefault="001423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90B" w:rsidRDefault="001105AC">
    <w:pPr>
      <w:pStyle w:val="a3"/>
      <w:jc w:val="center"/>
    </w:pPr>
    <w:r>
      <w:fldChar w:fldCharType="begin"/>
    </w:r>
    <w:r>
      <w:instrText xml:space="preserve"> PAGE   \* MERGEFORMAT </w:instrText>
    </w:r>
    <w:r>
      <w:fldChar w:fldCharType="separate"/>
    </w:r>
    <w:r w:rsidR="00354808">
      <w:rPr>
        <w:noProof/>
      </w:rPr>
      <w:t>2</w:t>
    </w:r>
    <w:r>
      <w:fldChar w:fldCharType="end"/>
    </w:r>
  </w:p>
  <w:p w:rsidR="006F390B" w:rsidRDefault="0014239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C93FAA"/>
    <w:multiLevelType w:val="hybridMultilevel"/>
    <w:tmpl w:val="B9C447D4"/>
    <w:lvl w:ilvl="0" w:tplc="51BE6FC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5D9D1B02"/>
    <w:multiLevelType w:val="hybridMultilevel"/>
    <w:tmpl w:val="1F0EDAFA"/>
    <w:lvl w:ilvl="0" w:tplc="E500DF6E">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714"/>
    <w:rsid w:val="00001139"/>
    <w:rsid w:val="0003035D"/>
    <w:rsid w:val="00043C0C"/>
    <w:rsid w:val="0009232F"/>
    <w:rsid w:val="000B1E57"/>
    <w:rsid w:val="001105AC"/>
    <w:rsid w:val="0014239D"/>
    <w:rsid w:val="001A278D"/>
    <w:rsid w:val="001C450D"/>
    <w:rsid w:val="001D6777"/>
    <w:rsid w:val="001F6986"/>
    <w:rsid w:val="00265728"/>
    <w:rsid w:val="00274F91"/>
    <w:rsid w:val="002C65C7"/>
    <w:rsid w:val="002C69AC"/>
    <w:rsid w:val="00354808"/>
    <w:rsid w:val="003577BC"/>
    <w:rsid w:val="003850B5"/>
    <w:rsid w:val="003B5530"/>
    <w:rsid w:val="003D5A30"/>
    <w:rsid w:val="003E311B"/>
    <w:rsid w:val="00444308"/>
    <w:rsid w:val="00447714"/>
    <w:rsid w:val="00493C94"/>
    <w:rsid w:val="00495AA3"/>
    <w:rsid w:val="004B6789"/>
    <w:rsid w:val="004E1301"/>
    <w:rsid w:val="004F5D53"/>
    <w:rsid w:val="005002EB"/>
    <w:rsid w:val="00547E63"/>
    <w:rsid w:val="00566180"/>
    <w:rsid w:val="0057049D"/>
    <w:rsid w:val="00587975"/>
    <w:rsid w:val="005A669C"/>
    <w:rsid w:val="005A6FFF"/>
    <w:rsid w:val="005B1788"/>
    <w:rsid w:val="00621854"/>
    <w:rsid w:val="00686B0B"/>
    <w:rsid w:val="006A78A5"/>
    <w:rsid w:val="006D264A"/>
    <w:rsid w:val="006F240E"/>
    <w:rsid w:val="00725E6F"/>
    <w:rsid w:val="00745671"/>
    <w:rsid w:val="0078755A"/>
    <w:rsid w:val="00794578"/>
    <w:rsid w:val="00815B46"/>
    <w:rsid w:val="00834C68"/>
    <w:rsid w:val="008431F4"/>
    <w:rsid w:val="00844F0B"/>
    <w:rsid w:val="008829FC"/>
    <w:rsid w:val="008936EE"/>
    <w:rsid w:val="008A18B7"/>
    <w:rsid w:val="008B2D71"/>
    <w:rsid w:val="008E39B9"/>
    <w:rsid w:val="00922251"/>
    <w:rsid w:val="00922D81"/>
    <w:rsid w:val="009572A9"/>
    <w:rsid w:val="009752FC"/>
    <w:rsid w:val="00985B7A"/>
    <w:rsid w:val="00990474"/>
    <w:rsid w:val="009C2E93"/>
    <w:rsid w:val="00A041B8"/>
    <w:rsid w:val="00A13C6B"/>
    <w:rsid w:val="00A36461"/>
    <w:rsid w:val="00A432DD"/>
    <w:rsid w:val="00A46F9E"/>
    <w:rsid w:val="00A57215"/>
    <w:rsid w:val="00AA29EF"/>
    <w:rsid w:val="00BB4771"/>
    <w:rsid w:val="00C05C93"/>
    <w:rsid w:val="00C26E00"/>
    <w:rsid w:val="00C43D25"/>
    <w:rsid w:val="00C76980"/>
    <w:rsid w:val="00C958E9"/>
    <w:rsid w:val="00C96D5A"/>
    <w:rsid w:val="00CB0F94"/>
    <w:rsid w:val="00CC08E8"/>
    <w:rsid w:val="00CD2A69"/>
    <w:rsid w:val="00D147B6"/>
    <w:rsid w:val="00D203F1"/>
    <w:rsid w:val="00D33B82"/>
    <w:rsid w:val="00D47EC7"/>
    <w:rsid w:val="00DE0B37"/>
    <w:rsid w:val="00E5702E"/>
    <w:rsid w:val="00E97606"/>
    <w:rsid w:val="00F367C7"/>
    <w:rsid w:val="00F9267E"/>
    <w:rsid w:val="00FC0951"/>
    <w:rsid w:val="00FC6B8B"/>
    <w:rsid w:val="00FD0B44"/>
    <w:rsid w:val="00FF5A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021DA7-9382-440A-8F04-66A1129F6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0B37"/>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E0B37"/>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DE0B37"/>
    <w:rPr>
      <w:rFonts w:ascii="Calibri" w:eastAsia="Times New Roman" w:hAnsi="Calibri" w:cs="Times New Roman"/>
    </w:rPr>
  </w:style>
  <w:style w:type="paragraph" w:styleId="a5">
    <w:name w:val="Normal (Web)"/>
    <w:basedOn w:val="a"/>
    <w:uiPriority w:val="99"/>
    <w:rsid w:val="00DE0B37"/>
    <w:pPr>
      <w:spacing w:before="100" w:beforeAutospacing="1" w:after="100" w:afterAutospacing="1" w:line="240" w:lineRule="auto"/>
    </w:pPr>
    <w:rPr>
      <w:rFonts w:ascii="Times New Roman" w:hAnsi="Times New Roman"/>
      <w:sz w:val="24"/>
      <w:szCs w:val="24"/>
      <w:lang w:eastAsia="uk-UA"/>
    </w:rPr>
  </w:style>
  <w:style w:type="paragraph" w:styleId="a6">
    <w:name w:val="footer"/>
    <w:basedOn w:val="a"/>
    <w:link w:val="a7"/>
    <w:uiPriority w:val="99"/>
    <w:rsid w:val="00DE0B37"/>
    <w:pPr>
      <w:tabs>
        <w:tab w:val="center" w:pos="4819"/>
        <w:tab w:val="right" w:pos="9639"/>
      </w:tabs>
      <w:spacing w:after="0" w:line="240" w:lineRule="auto"/>
    </w:pPr>
  </w:style>
  <w:style w:type="character" w:customStyle="1" w:styleId="a7">
    <w:name w:val="Нижній колонтитул Знак"/>
    <w:basedOn w:val="a0"/>
    <w:link w:val="a6"/>
    <w:uiPriority w:val="99"/>
    <w:rsid w:val="00DE0B37"/>
    <w:rPr>
      <w:rFonts w:ascii="Calibri" w:eastAsia="Times New Roman" w:hAnsi="Calibri" w:cs="Times New Roman"/>
    </w:rPr>
  </w:style>
  <w:style w:type="paragraph" w:styleId="a8">
    <w:name w:val="List Paragraph"/>
    <w:basedOn w:val="a"/>
    <w:uiPriority w:val="34"/>
    <w:qFormat/>
    <w:rsid w:val="00DE0B37"/>
    <w:pPr>
      <w:ind w:left="720"/>
      <w:contextualSpacing/>
    </w:pPr>
  </w:style>
  <w:style w:type="paragraph" w:customStyle="1" w:styleId="a9">
    <w:name w:val="Нормальний текст"/>
    <w:basedOn w:val="a"/>
    <w:uiPriority w:val="99"/>
    <w:rsid w:val="00DE0B37"/>
    <w:pPr>
      <w:autoSpaceDE w:val="0"/>
      <w:autoSpaceDN w:val="0"/>
      <w:spacing w:before="120" w:after="0" w:line="240" w:lineRule="auto"/>
      <w:ind w:firstLine="567"/>
    </w:pPr>
    <w:rPr>
      <w:rFonts w:ascii="Antiqua" w:hAnsi="Antiqua" w:cs="Antiqua"/>
      <w:sz w:val="26"/>
      <w:szCs w:val="26"/>
      <w:lang w:eastAsia="ru-RU"/>
    </w:rPr>
  </w:style>
  <w:style w:type="paragraph" w:customStyle="1" w:styleId="1">
    <w:name w:val="Абзац списку1"/>
    <w:basedOn w:val="a"/>
    <w:rsid w:val="00DE0B37"/>
    <w:pPr>
      <w:spacing w:after="160" w:line="256" w:lineRule="auto"/>
      <w:ind w:left="720"/>
      <w:contextualSpacing/>
    </w:pPr>
    <w:rPr>
      <w:lang w:val="ru-RU"/>
    </w:rPr>
  </w:style>
  <w:style w:type="paragraph" w:customStyle="1" w:styleId="10">
    <w:name w:val="Обычный1"/>
    <w:uiPriority w:val="99"/>
    <w:rsid w:val="00DE0B37"/>
    <w:pPr>
      <w:widowControl w:val="0"/>
      <w:spacing w:after="0" w:line="240" w:lineRule="auto"/>
      <w:jc w:val="center"/>
    </w:pPr>
    <w:rPr>
      <w:rFonts w:ascii="Times New Roman" w:eastAsia="Times New Roman" w:hAnsi="Times New Roman" w:cs="Times New Roman"/>
      <w:sz w:val="18"/>
      <w:szCs w:val="18"/>
      <w:lang w:eastAsia="ru-RU"/>
    </w:rPr>
  </w:style>
  <w:style w:type="paragraph" w:styleId="aa">
    <w:name w:val="Balloon Text"/>
    <w:basedOn w:val="a"/>
    <w:link w:val="ab"/>
    <w:uiPriority w:val="99"/>
    <w:semiHidden/>
    <w:unhideWhenUsed/>
    <w:rsid w:val="00FC0951"/>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FC0951"/>
    <w:rPr>
      <w:rFonts w:ascii="Segoe UI" w:eastAsia="Times New Roman" w:hAnsi="Segoe UI" w:cs="Segoe UI"/>
      <w:sz w:val="18"/>
      <w:szCs w:val="18"/>
    </w:rPr>
  </w:style>
  <w:style w:type="character" w:styleId="ac">
    <w:name w:val="Hyperlink"/>
    <w:basedOn w:val="a0"/>
    <w:uiPriority w:val="99"/>
    <w:semiHidden/>
    <w:unhideWhenUsed/>
    <w:rsid w:val="000923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2456-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8721</Words>
  <Characters>4972</Characters>
  <Application>Microsoft Office Word</Application>
  <DocSecurity>0</DocSecurity>
  <Lines>41</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MINFIN</Company>
  <LinksUpToDate>false</LinksUpToDate>
  <CharactersWithSpaces>13666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cp:lastPrinted>2020-04-22T07:41:00Z</cp:lastPrinted>
  <dcterms:created xsi:type="dcterms:W3CDTF">2020-06-01T12:33:00Z</dcterms:created>
  <dcterms:modified xsi:type="dcterms:W3CDTF">2020-06-01T12:33:00Z</dcterms:modified>
</cp:coreProperties>
</file>