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1B41" w:rsidRDefault="001C1B41" w:rsidP="001C1B41">
      <w:pPr>
        <w:pStyle w:val="a3"/>
        <w:spacing w:line="276" w:lineRule="auto"/>
        <w:ind w:firstLine="0"/>
        <w:rPr>
          <w:b/>
          <w:bCs/>
        </w:rPr>
      </w:pPr>
      <w:r w:rsidRPr="00422F3F">
        <w:rPr>
          <w:b/>
          <w:bCs/>
        </w:rPr>
        <w:t>ПОЯСНЮВАЛЬНА ЗАПИСКА</w:t>
      </w:r>
    </w:p>
    <w:p w:rsidR="00704BAB" w:rsidRPr="00422F3F" w:rsidRDefault="00704BAB" w:rsidP="001C1B41">
      <w:pPr>
        <w:pStyle w:val="a3"/>
        <w:spacing w:line="276" w:lineRule="auto"/>
        <w:ind w:firstLine="0"/>
        <w:rPr>
          <w:b/>
          <w:bCs/>
        </w:rPr>
      </w:pPr>
    </w:p>
    <w:p w:rsidR="001C1B41" w:rsidRPr="00422F3F" w:rsidRDefault="001C1B41" w:rsidP="001C1B41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422F3F">
        <w:rPr>
          <w:b/>
          <w:sz w:val="28"/>
          <w:szCs w:val="28"/>
          <w:lang w:val="uk-UA"/>
        </w:rPr>
        <w:t xml:space="preserve">до проекту Закону України </w:t>
      </w:r>
      <w:bookmarkStart w:id="0" w:name="_Hlk40823436"/>
      <w:r w:rsidR="00BD4212" w:rsidRPr="00BD4212">
        <w:rPr>
          <w:b/>
          <w:sz w:val="28"/>
          <w:szCs w:val="28"/>
          <w:lang w:val="uk-UA"/>
        </w:rPr>
        <w:t>«Про внесення змін до Податкового кодексу України (</w:t>
      </w:r>
      <w:r w:rsidR="00A8251E" w:rsidRPr="00A8251E">
        <w:rPr>
          <w:b/>
          <w:sz w:val="28"/>
          <w:szCs w:val="28"/>
          <w:lang w:val="uk-UA"/>
        </w:rPr>
        <w:t>щодо оподаткування майна та доходів фізичних осіб</w:t>
      </w:r>
      <w:r w:rsidR="00BD4212" w:rsidRPr="00BD4212">
        <w:rPr>
          <w:b/>
          <w:sz w:val="28"/>
          <w:szCs w:val="28"/>
          <w:lang w:val="uk-UA"/>
        </w:rPr>
        <w:t>)»</w:t>
      </w:r>
      <w:bookmarkEnd w:id="0"/>
    </w:p>
    <w:p w:rsidR="001C1B41" w:rsidRPr="00422F3F" w:rsidRDefault="001C1B41" w:rsidP="001C1B41">
      <w:pPr>
        <w:pStyle w:val="2"/>
        <w:spacing w:after="120" w:line="276" w:lineRule="auto"/>
        <w:ind w:firstLine="720"/>
        <w:rPr>
          <w:lang w:val="uk-UA"/>
        </w:rPr>
      </w:pPr>
    </w:p>
    <w:p w:rsidR="001C1B41" w:rsidRPr="00422F3F" w:rsidRDefault="001C1B41" w:rsidP="001C1B41">
      <w:pPr>
        <w:numPr>
          <w:ilvl w:val="0"/>
          <w:numId w:val="1"/>
        </w:numPr>
        <w:tabs>
          <w:tab w:val="clear" w:pos="1080"/>
          <w:tab w:val="num" w:pos="851"/>
        </w:tabs>
        <w:spacing w:before="120" w:after="120" w:line="276" w:lineRule="auto"/>
        <w:ind w:left="-284" w:firstLine="851"/>
        <w:jc w:val="both"/>
        <w:rPr>
          <w:b/>
          <w:bCs/>
          <w:sz w:val="28"/>
          <w:szCs w:val="28"/>
          <w:lang w:val="uk-UA"/>
        </w:rPr>
      </w:pPr>
      <w:r w:rsidRPr="00422F3F">
        <w:rPr>
          <w:b/>
          <w:bCs/>
          <w:sz w:val="28"/>
          <w:szCs w:val="28"/>
          <w:lang w:val="uk-UA"/>
        </w:rPr>
        <w:t>Обґрунтування необхідності прийняття Законопроекту</w:t>
      </w:r>
    </w:p>
    <w:p w:rsidR="00A8251E" w:rsidRDefault="00A8251E" w:rsidP="00710A87">
      <w:pPr>
        <w:spacing w:before="120" w:after="120" w:line="276" w:lineRule="auto"/>
        <w:ind w:left="-284" w:firstLine="851"/>
        <w:jc w:val="both"/>
        <w:rPr>
          <w:bCs/>
          <w:sz w:val="28"/>
          <w:szCs w:val="28"/>
          <w:lang w:val="uk-UA"/>
        </w:rPr>
      </w:pPr>
      <w:bookmarkStart w:id="1" w:name="o360"/>
      <w:bookmarkEnd w:id="1"/>
    </w:p>
    <w:p w:rsidR="00710A87" w:rsidRPr="00710A87" w:rsidRDefault="00710A87" w:rsidP="00710A87">
      <w:pPr>
        <w:spacing w:before="120" w:after="120" w:line="276" w:lineRule="auto"/>
        <w:ind w:left="-284" w:firstLine="851"/>
        <w:jc w:val="both"/>
        <w:rPr>
          <w:bCs/>
          <w:sz w:val="28"/>
          <w:szCs w:val="28"/>
          <w:lang w:val="uk-UA"/>
        </w:rPr>
      </w:pPr>
      <w:r w:rsidRPr="00710A87">
        <w:rPr>
          <w:bCs/>
          <w:sz w:val="28"/>
          <w:szCs w:val="28"/>
          <w:lang w:val="uk-UA"/>
        </w:rPr>
        <w:t>Базовими принципами оподаткування є загальність оподаткування, рівність усіх платників податків перед законом, недопущення податкової дискримінації, фіскальна достатність та соціальна справедливість. Реалізація цих базових принципів у податкових правовідносинах відбувається через юридичну або правову визначеність податку, збору, іншого обов’язкового платежу. Здебільшого принцип правової визначеності передбачає чіткість, зрозумілість  та однозначність будь-якої правової норми.</w:t>
      </w:r>
    </w:p>
    <w:p w:rsidR="00710A87" w:rsidRPr="00710A87" w:rsidRDefault="00710A87" w:rsidP="00710A87">
      <w:pPr>
        <w:spacing w:before="120" w:after="120" w:line="276" w:lineRule="auto"/>
        <w:ind w:left="-284" w:firstLine="851"/>
        <w:jc w:val="both"/>
        <w:rPr>
          <w:bCs/>
          <w:sz w:val="28"/>
          <w:szCs w:val="28"/>
          <w:lang w:val="uk-UA"/>
        </w:rPr>
      </w:pPr>
      <w:r w:rsidRPr="00710A87">
        <w:rPr>
          <w:bCs/>
          <w:sz w:val="28"/>
          <w:szCs w:val="28"/>
          <w:lang w:val="uk-UA"/>
        </w:rPr>
        <w:t xml:space="preserve">Відповідно до Податкового </w:t>
      </w:r>
      <w:r w:rsidR="0099774C">
        <w:rPr>
          <w:bCs/>
          <w:sz w:val="28"/>
          <w:szCs w:val="28"/>
          <w:lang w:val="uk-UA"/>
        </w:rPr>
        <w:t>к</w:t>
      </w:r>
      <w:r w:rsidRPr="00710A87">
        <w:rPr>
          <w:bCs/>
          <w:sz w:val="28"/>
          <w:szCs w:val="28"/>
          <w:lang w:val="uk-UA"/>
        </w:rPr>
        <w:t xml:space="preserve">одексу України обчислення суми податку з об’єкта/об’єктів житлової нерухомості та/або нежитлової нерухомості, які перебувають у власності фізичних осіб, здійснюється контролюючим органом за місцем податкової адреси (місцем реєстрації) власника такої нерухомості.  Обчислення суми транспортного податку з об’єкта/об’єктів оподаткування фізичних осіб здійснюється контролюючим органом за місцем реєстрації платника податку. Нарахування фізичним особам сум земельного податку проводиться контролюючими органами (за місцем знаходження земельної ділянки). </w:t>
      </w:r>
    </w:p>
    <w:p w:rsidR="00710A87" w:rsidRPr="00710A87" w:rsidRDefault="00710A87" w:rsidP="00710A87">
      <w:pPr>
        <w:spacing w:before="120" w:after="120" w:line="276" w:lineRule="auto"/>
        <w:ind w:left="-284" w:firstLine="851"/>
        <w:jc w:val="both"/>
        <w:rPr>
          <w:bCs/>
          <w:sz w:val="28"/>
          <w:szCs w:val="28"/>
          <w:lang w:val="uk-UA"/>
        </w:rPr>
      </w:pPr>
      <w:r w:rsidRPr="00710A87">
        <w:rPr>
          <w:bCs/>
          <w:sz w:val="28"/>
          <w:szCs w:val="28"/>
          <w:lang w:val="uk-UA"/>
        </w:rPr>
        <w:t xml:space="preserve">За результатами обчислення сум зазначених вище податків контролюючими органами надсилається (вручається) </w:t>
      </w:r>
      <w:r w:rsidR="001F40D1" w:rsidRPr="00710A87">
        <w:rPr>
          <w:bCs/>
          <w:sz w:val="28"/>
          <w:szCs w:val="28"/>
          <w:lang w:val="uk-UA"/>
        </w:rPr>
        <w:t xml:space="preserve">податкове повідомлення-рішення про сплату суми/сум податку </w:t>
      </w:r>
      <w:r w:rsidRPr="00710A87">
        <w:rPr>
          <w:bCs/>
          <w:sz w:val="28"/>
          <w:szCs w:val="28"/>
          <w:lang w:val="uk-UA"/>
        </w:rPr>
        <w:t>платнику податку за місцем його податкової адреси (місцем реєстрації) до 1 липня року, що настає за базовим податковим (звітним) періодом (роком). Відсутність затверджених форм, згідно з якими контролюючими органами проводиться розрахунок сум податків для фізичних осіб, що надсилаються (вручаються) платникам податку повідомленнями-рішеннями, створюють підстави для виникнення спірних питань щодо розмірів сум податків, що підлягають сплаті.</w:t>
      </w:r>
    </w:p>
    <w:p w:rsidR="00710A87" w:rsidRPr="00710A87" w:rsidRDefault="00710A87" w:rsidP="00710A87">
      <w:pPr>
        <w:spacing w:before="120" w:after="120" w:line="276" w:lineRule="auto"/>
        <w:ind w:left="-284" w:firstLine="851"/>
        <w:jc w:val="both"/>
        <w:rPr>
          <w:bCs/>
          <w:sz w:val="28"/>
          <w:szCs w:val="28"/>
          <w:lang w:val="uk-UA"/>
        </w:rPr>
      </w:pPr>
      <w:r w:rsidRPr="00710A87">
        <w:rPr>
          <w:bCs/>
          <w:sz w:val="28"/>
          <w:szCs w:val="28"/>
          <w:lang w:val="uk-UA"/>
        </w:rPr>
        <w:t xml:space="preserve">Так, у Податковому </w:t>
      </w:r>
      <w:r w:rsidR="0099774C">
        <w:rPr>
          <w:bCs/>
          <w:sz w:val="28"/>
          <w:szCs w:val="28"/>
          <w:lang w:val="uk-UA"/>
        </w:rPr>
        <w:t>к</w:t>
      </w:r>
      <w:r w:rsidRPr="00710A87">
        <w:rPr>
          <w:bCs/>
          <w:sz w:val="28"/>
          <w:szCs w:val="28"/>
          <w:lang w:val="uk-UA"/>
        </w:rPr>
        <w:t xml:space="preserve">одексі України зазначено, що платники податку на нерухоме майно, відмінне від земельної ділянки - юридичні особи самостійно обчислюють суму податку і подають контролюючому органу за місцезнаходженням об’єкта/об’єктів оподаткування декларацію за відповідною формою (підпункт 266.7.5 пункту 266.7 статті 266 </w:t>
      </w:r>
      <w:r w:rsidR="0099774C">
        <w:rPr>
          <w:bCs/>
          <w:sz w:val="28"/>
          <w:szCs w:val="28"/>
          <w:lang w:val="uk-UA"/>
        </w:rPr>
        <w:t>Податкового к</w:t>
      </w:r>
      <w:r w:rsidRPr="00710A87">
        <w:rPr>
          <w:bCs/>
          <w:sz w:val="28"/>
          <w:szCs w:val="28"/>
          <w:lang w:val="uk-UA"/>
        </w:rPr>
        <w:t>одексу</w:t>
      </w:r>
      <w:r w:rsidR="0099774C">
        <w:rPr>
          <w:bCs/>
          <w:sz w:val="28"/>
          <w:szCs w:val="28"/>
          <w:lang w:val="uk-UA"/>
        </w:rPr>
        <w:t xml:space="preserve"> </w:t>
      </w:r>
      <w:r w:rsidR="0099774C">
        <w:rPr>
          <w:bCs/>
          <w:sz w:val="28"/>
          <w:szCs w:val="28"/>
          <w:lang w:val="uk-UA"/>
        </w:rPr>
        <w:lastRenderedPageBreak/>
        <w:t>України</w:t>
      </w:r>
      <w:r w:rsidRPr="00710A87">
        <w:rPr>
          <w:bCs/>
          <w:sz w:val="28"/>
          <w:szCs w:val="28"/>
          <w:lang w:val="uk-UA"/>
        </w:rPr>
        <w:t>). Така форма податкової декларації з податку на нерухоме майно, відмінне від земельної ділянки, затверджена наказом Міністерства фінансів України «Про затвердження форми Податкової декларації з податку на нерухоме майно, відмінне від земельної ділянки» №</w:t>
      </w:r>
      <w:r w:rsidR="001F40D1">
        <w:rPr>
          <w:bCs/>
          <w:sz w:val="28"/>
          <w:szCs w:val="28"/>
          <w:lang w:val="uk-UA"/>
        </w:rPr>
        <w:t> </w:t>
      </w:r>
      <w:r w:rsidRPr="00710A87">
        <w:rPr>
          <w:bCs/>
          <w:sz w:val="28"/>
          <w:szCs w:val="28"/>
          <w:lang w:val="uk-UA"/>
        </w:rPr>
        <w:t xml:space="preserve">408 від 10.04.2015р. У зазначеній формі наводиться інформація про дати реєстрації/припинення права власності, площа об’єкта оподаткування, кількість місяців перебування у власності, ставка податку, пільги, сума податкового зобов’язання до сплати. Тобто, для платників податку-юридичних осіб у формі </w:t>
      </w:r>
      <w:r w:rsidR="00A8251E">
        <w:rPr>
          <w:bCs/>
          <w:sz w:val="28"/>
          <w:szCs w:val="28"/>
          <w:lang w:val="uk-UA"/>
        </w:rPr>
        <w:t xml:space="preserve">податкової декларації </w:t>
      </w:r>
      <w:r w:rsidRPr="00710A87">
        <w:rPr>
          <w:bCs/>
          <w:sz w:val="28"/>
          <w:szCs w:val="28"/>
          <w:lang w:val="uk-UA"/>
        </w:rPr>
        <w:t xml:space="preserve">вказуються всі складові для об’єктивного розрахунку суми податкового зобов’язання для сплати. </w:t>
      </w:r>
    </w:p>
    <w:p w:rsidR="00710A87" w:rsidRPr="00710A87" w:rsidRDefault="00710A87" w:rsidP="00710A87">
      <w:pPr>
        <w:spacing w:before="120" w:after="120" w:line="276" w:lineRule="auto"/>
        <w:ind w:left="-284" w:firstLine="851"/>
        <w:jc w:val="both"/>
        <w:rPr>
          <w:bCs/>
          <w:sz w:val="28"/>
          <w:szCs w:val="28"/>
          <w:lang w:val="uk-UA"/>
        </w:rPr>
      </w:pPr>
      <w:r w:rsidRPr="00710A87">
        <w:rPr>
          <w:bCs/>
          <w:sz w:val="28"/>
          <w:szCs w:val="28"/>
          <w:lang w:val="uk-UA"/>
        </w:rPr>
        <w:t xml:space="preserve">Аналогічні форми декларацій для юридичних осіб встановлені для: </w:t>
      </w:r>
    </w:p>
    <w:p w:rsidR="00710A87" w:rsidRPr="00710A87" w:rsidRDefault="00710A87" w:rsidP="00710A87">
      <w:pPr>
        <w:spacing w:before="120" w:after="120" w:line="276" w:lineRule="auto"/>
        <w:ind w:left="-284" w:firstLine="851"/>
        <w:jc w:val="both"/>
        <w:rPr>
          <w:bCs/>
          <w:sz w:val="28"/>
          <w:szCs w:val="28"/>
          <w:lang w:val="uk-UA"/>
        </w:rPr>
      </w:pPr>
      <w:r w:rsidRPr="00710A87">
        <w:rPr>
          <w:bCs/>
          <w:sz w:val="28"/>
          <w:szCs w:val="28"/>
          <w:lang w:val="uk-UA"/>
        </w:rPr>
        <w:t xml:space="preserve">- розрахунку плати за землю, </w:t>
      </w:r>
      <w:r w:rsidR="001F40D1">
        <w:rPr>
          <w:bCs/>
          <w:sz w:val="28"/>
          <w:szCs w:val="28"/>
          <w:lang w:val="uk-UA"/>
        </w:rPr>
        <w:t xml:space="preserve">форма </w:t>
      </w:r>
      <w:r w:rsidRPr="00710A87">
        <w:rPr>
          <w:bCs/>
          <w:sz w:val="28"/>
          <w:szCs w:val="28"/>
          <w:lang w:val="uk-UA"/>
        </w:rPr>
        <w:t>затверджена наказом міністерства фінансів України №</w:t>
      </w:r>
      <w:r w:rsidR="001F40D1">
        <w:rPr>
          <w:bCs/>
          <w:sz w:val="28"/>
          <w:szCs w:val="28"/>
          <w:lang w:val="uk-UA"/>
        </w:rPr>
        <w:t> </w:t>
      </w:r>
      <w:r w:rsidRPr="00710A87">
        <w:rPr>
          <w:bCs/>
          <w:sz w:val="28"/>
          <w:szCs w:val="28"/>
          <w:lang w:val="uk-UA"/>
        </w:rPr>
        <w:t>560 від 16.06.2015 року «Про затвердження форми Податкової декларації з плати за землю (земельний податок та/або орендна плата за земельні ділянки державної або комунальної власності)»;</w:t>
      </w:r>
    </w:p>
    <w:p w:rsidR="00710A87" w:rsidRPr="00710A87" w:rsidRDefault="00710A87" w:rsidP="00710A87">
      <w:pPr>
        <w:spacing w:before="120" w:after="120" w:line="276" w:lineRule="auto"/>
        <w:ind w:left="-284" w:firstLine="851"/>
        <w:jc w:val="both"/>
        <w:rPr>
          <w:bCs/>
          <w:sz w:val="28"/>
          <w:szCs w:val="28"/>
          <w:lang w:val="uk-UA"/>
        </w:rPr>
      </w:pPr>
      <w:r w:rsidRPr="00710A87">
        <w:rPr>
          <w:bCs/>
          <w:sz w:val="28"/>
          <w:szCs w:val="28"/>
          <w:lang w:val="uk-UA"/>
        </w:rPr>
        <w:t xml:space="preserve">- розрахунку транспортного податку, </w:t>
      </w:r>
      <w:r w:rsidR="001F40D1">
        <w:rPr>
          <w:bCs/>
          <w:sz w:val="28"/>
          <w:szCs w:val="28"/>
          <w:lang w:val="uk-UA"/>
        </w:rPr>
        <w:t xml:space="preserve">форма </w:t>
      </w:r>
      <w:r w:rsidRPr="00710A87">
        <w:rPr>
          <w:bCs/>
          <w:sz w:val="28"/>
          <w:szCs w:val="28"/>
          <w:lang w:val="uk-UA"/>
        </w:rPr>
        <w:t>затверджена наказом міністерства фінансів України №</w:t>
      </w:r>
      <w:r w:rsidR="001F40D1">
        <w:rPr>
          <w:bCs/>
          <w:sz w:val="28"/>
          <w:szCs w:val="28"/>
          <w:lang w:val="uk-UA"/>
        </w:rPr>
        <w:t> </w:t>
      </w:r>
      <w:r w:rsidRPr="00710A87">
        <w:rPr>
          <w:bCs/>
          <w:sz w:val="28"/>
          <w:szCs w:val="28"/>
          <w:lang w:val="uk-UA"/>
        </w:rPr>
        <w:t>415 від 10.04.2015 року «Про затвердження форми Податкової декларації з транспортного податку».</w:t>
      </w:r>
    </w:p>
    <w:p w:rsidR="00710A87" w:rsidRPr="00710A87" w:rsidRDefault="00710A87" w:rsidP="00710A87">
      <w:pPr>
        <w:spacing w:before="120" w:after="120" w:line="276" w:lineRule="auto"/>
        <w:ind w:left="-284" w:firstLine="851"/>
        <w:jc w:val="both"/>
        <w:rPr>
          <w:bCs/>
          <w:sz w:val="28"/>
          <w:szCs w:val="28"/>
          <w:lang w:val="uk-UA"/>
        </w:rPr>
      </w:pPr>
      <w:r w:rsidRPr="00710A87">
        <w:rPr>
          <w:bCs/>
          <w:sz w:val="28"/>
          <w:szCs w:val="28"/>
          <w:lang w:val="uk-UA"/>
        </w:rPr>
        <w:t xml:space="preserve">Для забезпечення прозорого порядку розрахунку суми податку з об’єкта/об’єктів житлової нерухомості та/або нежитлової нерухомості, які перебувають у власності фізичних осіб, обчислення суми транспортного податку з об’єкта/об’єктів оподаткування фізичних осіб та нарахування фізичним особам сум земельного податку виникає необхідність уточнення відповідних норм Податкового </w:t>
      </w:r>
      <w:r w:rsidR="0099774C">
        <w:rPr>
          <w:bCs/>
          <w:sz w:val="28"/>
          <w:szCs w:val="28"/>
          <w:lang w:val="uk-UA"/>
        </w:rPr>
        <w:t>к</w:t>
      </w:r>
      <w:r w:rsidRPr="00710A87">
        <w:rPr>
          <w:bCs/>
          <w:sz w:val="28"/>
          <w:szCs w:val="28"/>
          <w:lang w:val="uk-UA"/>
        </w:rPr>
        <w:t xml:space="preserve">одексу України. </w:t>
      </w:r>
    </w:p>
    <w:p w:rsidR="00710A87" w:rsidRPr="00710A87" w:rsidRDefault="00710A87" w:rsidP="00710A87">
      <w:pPr>
        <w:spacing w:before="120" w:after="120" w:line="276" w:lineRule="auto"/>
        <w:ind w:left="-284" w:firstLine="851"/>
        <w:jc w:val="both"/>
        <w:rPr>
          <w:bCs/>
          <w:sz w:val="28"/>
          <w:szCs w:val="28"/>
          <w:lang w:val="uk-UA"/>
        </w:rPr>
      </w:pPr>
      <w:r w:rsidRPr="00710A87">
        <w:rPr>
          <w:bCs/>
          <w:sz w:val="28"/>
          <w:szCs w:val="28"/>
          <w:lang w:val="uk-UA"/>
        </w:rPr>
        <w:t xml:space="preserve">Також при визначенні ставки податку на доходи, отриманні фізичними особами від продажу протягом звітного податкового року більше ніж одного об’єкта нерухомості, виникають неоднозначні трактування </w:t>
      </w:r>
      <w:r w:rsidR="001F40D1">
        <w:rPr>
          <w:bCs/>
          <w:sz w:val="28"/>
          <w:szCs w:val="28"/>
          <w:lang w:val="uk-UA"/>
        </w:rPr>
        <w:t xml:space="preserve">цієї норми </w:t>
      </w:r>
      <w:r w:rsidRPr="00710A87">
        <w:rPr>
          <w:bCs/>
          <w:sz w:val="28"/>
          <w:szCs w:val="28"/>
          <w:lang w:val="uk-UA"/>
        </w:rPr>
        <w:t xml:space="preserve">як з боку платників податків, так і з боку контролюючих органів. Про це свідчать непоодинокі роз'яснення податкових органів України щодо оподаткування доходу, отриманого фізичною особою від продажу нерухомості, в тому числі, продажу протягом року більше ніж одного об’єкта нерухомості. </w:t>
      </w:r>
    </w:p>
    <w:p w:rsidR="00AC5C58" w:rsidRDefault="00710A87" w:rsidP="00710A87">
      <w:pPr>
        <w:spacing w:before="120" w:after="120" w:line="276" w:lineRule="auto"/>
        <w:ind w:left="-284" w:firstLine="851"/>
        <w:jc w:val="both"/>
        <w:rPr>
          <w:bCs/>
          <w:sz w:val="28"/>
          <w:szCs w:val="28"/>
          <w:lang w:val="uk-UA"/>
        </w:rPr>
      </w:pPr>
      <w:r w:rsidRPr="00710A87">
        <w:rPr>
          <w:bCs/>
          <w:sz w:val="28"/>
          <w:szCs w:val="28"/>
          <w:lang w:val="uk-UA"/>
        </w:rPr>
        <w:t xml:space="preserve">Для забезпечення чіткості, зрозумілості та однозначності норми Податкового </w:t>
      </w:r>
      <w:r w:rsidR="0099774C">
        <w:rPr>
          <w:bCs/>
          <w:sz w:val="28"/>
          <w:szCs w:val="28"/>
          <w:lang w:val="uk-UA"/>
        </w:rPr>
        <w:t>к</w:t>
      </w:r>
      <w:r w:rsidRPr="00710A87">
        <w:rPr>
          <w:bCs/>
          <w:sz w:val="28"/>
          <w:szCs w:val="28"/>
          <w:lang w:val="uk-UA"/>
        </w:rPr>
        <w:t>одексу України щодо визначення ставки податку на доходи від продажу протягом звітного податкового року більше ніж одного об’єкта нерухомості чинна норма потребує уточнення.</w:t>
      </w:r>
    </w:p>
    <w:p w:rsidR="004871DB" w:rsidRDefault="004871DB" w:rsidP="00710A87">
      <w:pPr>
        <w:spacing w:before="120" w:after="120" w:line="276" w:lineRule="auto"/>
        <w:ind w:left="-284" w:firstLine="851"/>
        <w:jc w:val="both"/>
        <w:rPr>
          <w:bCs/>
          <w:sz w:val="28"/>
          <w:szCs w:val="28"/>
          <w:lang w:val="uk-UA"/>
        </w:rPr>
      </w:pPr>
    </w:p>
    <w:p w:rsidR="00487B3C" w:rsidRDefault="00487B3C" w:rsidP="00710A87">
      <w:pPr>
        <w:spacing w:before="120" w:after="120" w:line="276" w:lineRule="auto"/>
        <w:ind w:left="-284" w:firstLine="851"/>
        <w:jc w:val="both"/>
        <w:rPr>
          <w:bCs/>
          <w:sz w:val="28"/>
          <w:szCs w:val="28"/>
          <w:lang w:val="uk-UA"/>
        </w:rPr>
      </w:pPr>
    </w:p>
    <w:p w:rsidR="001C1B41" w:rsidRPr="00422F3F" w:rsidRDefault="001C1B41" w:rsidP="001C1B41">
      <w:pPr>
        <w:numPr>
          <w:ilvl w:val="0"/>
          <w:numId w:val="1"/>
        </w:numPr>
        <w:tabs>
          <w:tab w:val="clear" w:pos="1080"/>
          <w:tab w:val="num" w:pos="851"/>
        </w:tabs>
        <w:spacing w:before="120" w:after="120" w:line="276" w:lineRule="auto"/>
        <w:ind w:left="-284" w:firstLine="851"/>
        <w:jc w:val="both"/>
        <w:rPr>
          <w:b/>
          <w:bCs/>
          <w:sz w:val="28"/>
          <w:szCs w:val="28"/>
          <w:lang w:val="uk-UA"/>
        </w:rPr>
      </w:pPr>
      <w:r w:rsidRPr="00422F3F">
        <w:rPr>
          <w:b/>
          <w:bCs/>
          <w:sz w:val="28"/>
          <w:szCs w:val="28"/>
          <w:lang w:val="uk-UA"/>
        </w:rPr>
        <w:lastRenderedPageBreak/>
        <w:t>Мета і завдання прийняття Законопроекту</w:t>
      </w:r>
    </w:p>
    <w:p w:rsidR="001723FC" w:rsidRDefault="001C1B41" w:rsidP="001C1B41">
      <w:pPr>
        <w:spacing w:before="120" w:after="120" w:line="276" w:lineRule="auto"/>
        <w:ind w:left="-284" w:firstLine="851"/>
        <w:jc w:val="both"/>
        <w:rPr>
          <w:bCs/>
          <w:sz w:val="28"/>
          <w:szCs w:val="28"/>
          <w:lang w:val="uk-UA"/>
        </w:rPr>
      </w:pPr>
      <w:r w:rsidRPr="00422F3F">
        <w:rPr>
          <w:bCs/>
          <w:sz w:val="28"/>
          <w:szCs w:val="28"/>
          <w:lang w:val="uk-UA"/>
        </w:rPr>
        <w:t xml:space="preserve">Метою прийняття цього законопроекту є забезпечення </w:t>
      </w:r>
      <w:r w:rsidR="00BD4212">
        <w:rPr>
          <w:bCs/>
          <w:sz w:val="28"/>
          <w:szCs w:val="28"/>
          <w:lang w:val="uk-UA"/>
        </w:rPr>
        <w:t xml:space="preserve">єдиного підходу при визначенні ставки податку на дохід, отриманий платниками податку на доходи фізичних осіб у випадку продажу </w:t>
      </w:r>
      <w:r w:rsidR="005D2AD3">
        <w:rPr>
          <w:bCs/>
          <w:sz w:val="28"/>
          <w:szCs w:val="28"/>
          <w:lang w:val="uk-UA"/>
        </w:rPr>
        <w:t xml:space="preserve">такими платниками протягом звітного податкового року </w:t>
      </w:r>
      <w:bookmarkStart w:id="2" w:name="_Hlk40824396"/>
      <w:r w:rsidR="005D2AD3">
        <w:rPr>
          <w:bCs/>
          <w:sz w:val="28"/>
          <w:szCs w:val="28"/>
          <w:lang w:val="uk-UA"/>
        </w:rPr>
        <w:t>більше ніж одного об’єкта нерухомості</w:t>
      </w:r>
      <w:bookmarkEnd w:id="2"/>
      <w:r w:rsidR="005D2AD3">
        <w:rPr>
          <w:bCs/>
          <w:sz w:val="28"/>
          <w:szCs w:val="28"/>
          <w:lang w:val="uk-UA"/>
        </w:rPr>
        <w:t>:</w:t>
      </w:r>
      <w:r w:rsidR="005D2AD3" w:rsidRPr="005D2AD3">
        <w:t xml:space="preserve"> </w:t>
      </w:r>
      <w:r w:rsidR="005D2AD3" w:rsidRPr="005D2AD3">
        <w:rPr>
          <w:bCs/>
          <w:sz w:val="28"/>
          <w:szCs w:val="28"/>
          <w:lang w:val="uk-UA"/>
        </w:rPr>
        <w:t>житлового будинку, квартири або їх частини, кімнати, садового (дачного) будинку (включаючи земельну ділянку, на якій розташовані такі об'єкти, а також господарсько-побутові споруди та будівлі, розташовані на такій земельній ділянці), а також земельної ділянки, що не перевищує норми безоплатної передачі, визначеної статтею 121 Земельного кодексу України залежно від її призначення</w:t>
      </w:r>
      <w:r w:rsidR="005D2AD3">
        <w:rPr>
          <w:bCs/>
          <w:sz w:val="28"/>
          <w:szCs w:val="28"/>
          <w:lang w:val="uk-UA"/>
        </w:rPr>
        <w:t xml:space="preserve">. </w:t>
      </w:r>
    </w:p>
    <w:p w:rsidR="001723FC" w:rsidRDefault="001723FC" w:rsidP="001C1B41">
      <w:pPr>
        <w:spacing w:before="120" w:after="120" w:line="276" w:lineRule="auto"/>
        <w:ind w:left="-284" w:firstLine="851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А також внесення</w:t>
      </w:r>
      <w:r w:rsidRPr="001723FC">
        <w:rPr>
          <w:bCs/>
          <w:sz w:val="28"/>
          <w:szCs w:val="28"/>
          <w:lang w:val="uk-UA"/>
        </w:rPr>
        <w:t xml:space="preserve"> відповідних </w:t>
      </w:r>
      <w:r>
        <w:rPr>
          <w:bCs/>
          <w:sz w:val="28"/>
          <w:szCs w:val="28"/>
          <w:lang w:val="uk-UA"/>
        </w:rPr>
        <w:t>змін до</w:t>
      </w:r>
      <w:r w:rsidRPr="001723FC">
        <w:rPr>
          <w:bCs/>
          <w:sz w:val="28"/>
          <w:szCs w:val="28"/>
          <w:lang w:val="uk-UA"/>
        </w:rPr>
        <w:t xml:space="preserve"> Податкового </w:t>
      </w:r>
      <w:r w:rsidR="0099774C">
        <w:rPr>
          <w:bCs/>
          <w:sz w:val="28"/>
          <w:szCs w:val="28"/>
          <w:lang w:val="uk-UA"/>
        </w:rPr>
        <w:t>к</w:t>
      </w:r>
      <w:r w:rsidRPr="001723FC">
        <w:rPr>
          <w:bCs/>
          <w:sz w:val="28"/>
          <w:szCs w:val="28"/>
          <w:lang w:val="uk-UA"/>
        </w:rPr>
        <w:t>одексу України</w:t>
      </w:r>
      <w:r>
        <w:rPr>
          <w:bCs/>
          <w:sz w:val="28"/>
          <w:szCs w:val="28"/>
          <w:lang w:val="uk-UA"/>
        </w:rPr>
        <w:t xml:space="preserve"> для</w:t>
      </w:r>
      <w:r w:rsidRPr="001723F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забезпечення </w:t>
      </w:r>
      <w:r w:rsidRPr="001723FC">
        <w:rPr>
          <w:bCs/>
          <w:sz w:val="28"/>
          <w:szCs w:val="28"/>
          <w:lang w:val="uk-UA"/>
        </w:rPr>
        <w:t xml:space="preserve">прозорого порядку розрахунку </w:t>
      </w:r>
      <w:r w:rsidR="00A8251E">
        <w:rPr>
          <w:bCs/>
          <w:sz w:val="28"/>
          <w:szCs w:val="28"/>
          <w:lang w:val="uk-UA"/>
        </w:rPr>
        <w:t xml:space="preserve">контролюючими органами </w:t>
      </w:r>
      <w:r w:rsidRPr="001723FC">
        <w:rPr>
          <w:bCs/>
          <w:sz w:val="28"/>
          <w:szCs w:val="28"/>
          <w:lang w:val="uk-UA"/>
        </w:rPr>
        <w:t>суми податку з об’єкта/об’єктів житлової нерухомості та/або нежитлової нерухомості, які перебувають у власності фізичних осіб, обчислення суми транспортного податку з об’єкта/об’єктів оподаткування фізичних осіб та нарахування фізичним особам сум земельного податку</w:t>
      </w:r>
      <w:r>
        <w:rPr>
          <w:bCs/>
          <w:sz w:val="28"/>
          <w:szCs w:val="28"/>
          <w:lang w:val="uk-UA"/>
        </w:rPr>
        <w:t>.</w:t>
      </w:r>
      <w:r w:rsidR="00CB31D2">
        <w:rPr>
          <w:bCs/>
          <w:sz w:val="28"/>
          <w:szCs w:val="28"/>
          <w:lang w:val="uk-UA"/>
        </w:rPr>
        <w:t xml:space="preserve"> </w:t>
      </w:r>
    </w:p>
    <w:p w:rsidR="00CB31D2" w:rsidRPr="00CB31D2" w:rsidRDefault="004871DB" w:rsidP="00CB31D2">
      <w:pPr>
        <w:spacing w:before="120" w:after="120" w:line="276" w:lineRule="auto"/>
        <w:ind w:left="-284" w:firstLine="851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Відповідно до </w:t>
      </w:r>
      <w:r w:rsidRPr="00CB31D2">
        <w:rPr>
          <w:bCs/>
          <w:sz w:val="28"/>
          <w:szCs w:val="28"/>
          <w:lang w:val="uk-UA"/>
        </w:rPr>
        <w:t xml:space="preserve">пункту 58.1 статті 58 </w:t>
      </w:r>
      <w:r>
        <w:rPr>
          <w:bCs/>
          <w:sz w:val="28"/>
          <w:szCs w:val="28"/>
          <w:lang w:val="uk-UA"/>
        </w:rPr>
        <w:t xml:space="preserve">Податкового </w:t>
      </w:r>
      <w:r w:rsidR="0099774C">
        <w:rPr>
          <w:bCs/>
          <w:sz w:val="28"/>
          <w:szCs w:val="28"/>
          <w:lang w:val="uk-UA"/>
        </w:rPr>
        <w:t>к</w:t>
      </w:r>
      <w:r>
        <w:rPr>
          <w:bCs/>
          <w:sz w:val="28"/>
          <w:szCs w:val="28"/>
          <w:lang w:val="uk-UA"/>
        </w:rPr>
        <w:t>одексу України ф</w:t>
      </w:r>
      <w:r w:rsidR="00CB31D2" w:rsidRPr="00CB31D2">
        <w:rPr>
          <w:bCs/>
          <w:sz w:val="28"/>
          <w:szCs w:val="28"/>
          <w:lang w:val="uk-UA"/>
        </w:rPr>
        <w:t>орма та порядок надіслання податкового повідомлення-рішення і розрахунку грошового зобов'язання визначається центральним органом виконавчої влади, що забезпечує формування та реалізує державну фінансову політику.</w:t>
      </w:r>
      <w:r>
        <w:rPr>
          <w:bCs/>
          <w:sz w:val="28"/>
          <w:szCs w:val="28"/>
          <w:lang w:val="uk-UA"/>
        </w:rPr>
        <w:t xml:space="preserve"> Після </w:t>
      </w:r>
      <w:bookmarkStart w:id="3" w:name="_Hlk40888365"/>
      <w:r>
        <w:rPr>
          <w:bCs/>
          <w:sz w:val="28"/>
          <w:szCs w:val="28"/>
          <w:lang w:val="uk-UA"/>
        </w:rPr>
        <w:t xml:space="preserve">прийняття запропонованих змін, у форму податкового повідомлення-рішення будуть внесені відповідні зміни, що дозволять </w:t>
      </w:r>
      <w:r w:rsidR="00A8251E">
        <w:rPr>
          <w:bCs/>
          <w:sz w:val="28"/>
          <w:szCs w:val="28"/>
          <w:lang w:val="uk-UA"/>
        </w:rPr>
        <w:t>прозоро</w:t>
      </w:r>
      <w:r>
        <w:rPr>
          <w:bCs/>
          <w:sz w:val="28"/>
          <w:szCs w:val="28"/>
          <w:lang w:val="uk-UA"/>
        </w:rPr>
        <w:t xml:space="preserve"> визначити суми податків, які підлягають сплаті фізичними особами.</w:t>
      </w:r>
      <w:bookmarkEnd w:id="3"/>
    </w:p>
    <w:p w:rsidR="00F73E08" w:rsidRPr="00422F3F" w:rsidRDefault="00F73E08" w:rsidP="001C1B41">
      <w:pPr>
        <w:spacing w:before="120" w:after="120" w:line="276" w:lineRule="auto"/>
        <w:ind w:left="-284" w:firstLine="851"/>
        <w:jc w:val="both"/>
        <w:rPr>
          <w:bCs/>
          <w:sz w:val="28"/>
          <w:szCs w:val="28"/>
          <w:lang w:val="uk-UA"/>
        </w:rPr>
      </w:pPr>
    </w:p>
    <w:p w:rsidR="001C1B41" w:rsidRPr="00422F3F" w:rsidRDefault="001C1B41" w:rsidP="001C1B41">
      <w:pPr>
        <w:pStyle w:val="20"/>
        <w:spacing w:before="120" w:after="120" w:line="276" w:lineRule="auto"/>
        <w:ind w:left="-284" w:firstLine="851"/>
        <w:rPr>
          <w:b/>
          <w:bCs/>
        </w:rPr>
      </w:pPr>
      <w:r w:rsidRPr="00422F3F">
        <w:rPr>
          <w:b/>
          <w:bCs/>
        </w:rPr>
        <w:t>3. Загальна характеристика та основні положення проекту Закону</w:t>
      </w:r>
    </w:p>
    <w:p w:rsidR="001C1B41" w:rsidRDefault="001C1B41" w:rsidP="001C1B41">
      <w:pPr>
        <w:pStyle w:val="20"/>
        <w:spacing w:before="120" w:after="120" w:line="276" w:lineRule="auto"/>
        <w:ind w:left="-284" w:firstLine="851"/>
        <w:rPr>
          <w:color w:val="000000"/>
          <w:shd w:val="clear" w:color="auto" w:fill="FFFFFF"/>
        </w:rPr>
      </w:pPr>
      <w:r w:rsidRPr="00422F3F">
        <w:rPr>
          <w:color w:val="000000"/>
          <w:shd w:val="clear" w:color="auto" w:fill="FFFFFF"/>
        </w:rPr>
        <w:t xml:space="preserve">Законопроектом пропонується </w:t>
      </w:r>
      <w:r w:rsidR="005D2AD3">
        <w:rPr>
          <w:color w:val="000000"/>
          <w:shd w:val="clear" w:color="auto" w:fill="FFFFFF"/>
        </w:rPr>
        <w:t xml:space="preserve">уточнити пункт 172.2 статті 172 Податкового </w:t>
      </w:r>
      <w:r w:rsidR="0099774C">
        <w:rPr>
          <w:color w:val="000000"/>
          <w:shd w:val="clear" w:color="auto" w:fill="FFFFFF"/>
        </w:rPr>
        <w:t>к</w:t>
      </w:r>
      <w:r w:rsidR="005D2AD3">
        <w:rPr>
          <w:color w:val="000000"/>
          <w:shd w:val="clear" w:color="auto" w:fill="FFFFFF"/>
        </w:rPr>
        <w:t>одексу України, виклавши його в новій редакції.</w:t>
      </w:r>
      <w:r w:rsidR="0099774C">
        <w:rPr>
          <w:color w:val="000000"/>
          <w:shd w:val="clear" w:color="auto" w:fill="FFFFFF"/>
        </w:rPr>
        <w:t xml:space="preserve"> </w:t>
      </w:r>
      <w:r w:rsidR="001723FC">
        <w:rPr>
          <w:color w:val="000000"/>
          <w:shd w:val="clear" w:color="auto" w:fill="FFFFFF"/>
        </w:rPr>
        <w:t xml:space="preserve">Також проектом Закону вносяться зміни до пункту 266.7 статті 266 </w:t>
      </w:r>
      <w:r w:rsidR="0099774C">
        <w:rPr>
          <w:color w:val="000000"/>
          <w:shd w:val="clear" w:color="auto" w:fill="FFFFFF"/>
        </w:rPr>
        <w:t xml:space="preserve">Кодексу </w:t>
      </w:r>
      <w:r w:rsidR="009B41C3">
        <w:rPr>
          <w:color w:val="000000"/>
          <w:shd w:val="clear" w:color="auto" w:fill="FFFFFF"/>
        </w:rPr>
        <w:t xml:space="preserve">щодо змісту податкового повідомлення-рішення </w:t>
      </w:r>
      <w:r w:rsidR="009B41C3" w:rsidRPr="009B41C3">
        <w:rPr>
          <w:color w:val="000000"/>
          <w:shd w:val="clear" w:color="auto" w:fill="FFFFFF"/>
        </w:rPr>
        <w:t>про сплату суми/сум податку з об’єкта/об’єктів житлової нерухомості та/або нежитлової нерухомості, які перебувають у власності фізичних осіб</w:t>
      </w:r>
      <w:r w:rsidR="009B41C3">
        <w:rPr>
          <w:color w:val="000000"/>
          <w:shd w:val="clear" w:color="auto" w:fill="FFFFFF"/>
        </w:rPr>
        <w:t xml:space="preserve">. Аналогічні зміни також вносяться до пункту 267.6 статті 267 </w:t>
      </w:r>
      <w:r w:rsidR="0099774C">
        <w:rPr>
          <w:color w:val="000000"/>
          <w:shd w:val="clear" w:color="auto" w:fill="FFFFFF"/>
        </w:rPr>
        <w:t xml:space="preserve">Кодексу </w:t>
      </w:r>
      <w:r w:rsidR="009B41C3" w:rsidRPr="009B41C3">
        <w:rPr>
          <w:color w:val="000000"/>
          <w:shd w:val="clear" w:color="auto" w:fill="FFFFFF"/>
        </w:rPr>
        <w:t xml:space="preserve">щодо змісту податкового повідомлення-рішення про сплату суми/сум </w:t>
      </w:r>
      <w:r w:rsidR="009B41C3">
        <w:rPr>
          <w:color w:val="000000"/>
          <w:shd w:val="clear" w:color="auto" w:fill="FFFFFF"/>
        </w:rPr>
        <w:t xml:space="preserve">транспортного </w:t>
      </w:r>
      <w:r w:rsidR="009B41C3" w:rsidRPr="009B41C3">
        <w:rPr>
          <w:color w:val="000000"/>
          <w:shd w:val="clear" w:color="auto" w:fill="FFFFFF"/>
        </w:rPr>
        <w:t xml:space="preserve">податку з об’єкта/об’єктів </w:t>
      </w:r>
      <w:r w:rsidR="009B41C3">
        <w:rPr>
          <w:color w:val="000000"/>
          <w:shd w:val="clear" w:color="auto" w:fill="FFFFFF"/>
        </w:rPr>
        <w:t>оподаткування</w:t>
      </w:r>
      <w:r w:rsidR="009B41C3" w:rsidRPr="009B41C3">
        <w:rPr>
          <w:color w:val="000000"/>
          <w:shd w:val="clear" w:color="auto" w:fill="FFFFFF"/>
        </w:rPr>
        <w:t xml:space="preserve"> фізичних осіб</w:t>
      </w:r>
      <w:r w:rsidR="009B41C3">
        <w:rPr>
          <w:color w:val="000000"/>
          <w:shd w:val="clear" w:color="auto" w:fill="FFFFFF"/>
        </w:rPr>
        <w:t xml:space="preserve">, а також до пункту 286.5 статті 286 </w:t>
      </w:r>
      <w:r w:rsidR="0099774C">
        <w:rPr>
          <w:color w:val="000000"/>
          <w:shd w:val="clear" w:color="auto" w:fill="FFFFFF"/>
        </w:rPr>
        <w:t xml:space="preserve">Кодексу </w:t>
      </w:r>
      <w:r w:rsidR="009B41C3" w:rsidRPr="009B41C3">
        <w:rPr>
          <w:color w:val="000000"/>
          <w:shd w:val="clear" w:color="auto" w:fill="FFFFFF"/>
        </w:rPr>
        <w:t xml:space="preserve">щодо змісту податкового повідомлення-рішення про сплату суми/сум </w:t>
      </w:r>
      <w:r w:rsidR="009B41C3">
        <w:rPr>
          <w:color w:val="000000"/>
          <w:shd w:val="clear" w:color="auto" w:fill="FFFFFF"/>
        </w:rPr>
        <w:t>фізичними особами земельного</w:t>
      </w:r>
      <w:r w:rsidR="009B41C3" w:rsidRPr="009B41C3">
        <w:rPr>
          <w:color w:val="000000"/>
          <w:shd w:val="clear" w:color="auto" w:fill="FFFFFF"/>
        </w:rPr>
        <w:t xml:space="preserve"> податку</w:t>
      </w:r>
      <w:r w:rsidR="009B41C3">
        <w:rPr>
          <w:color w:val="000000"/>
          <w:shd w:val="clear" w:color="auto" w:fill="FFFFFF"/>
        </w:rPr>
        <w:t>.</w:t>
      </w:r>
    </w:p>
    <w:p w:rsidR="001C1B41" w:rsidRDefault="001C1B41" w:rsidP="001C1B41">
      <w:pPr>
        <w:pStyle w:val="20"/>
        <w:tabs>
          <w:tab w:val="left" w:pos="851"/>
        </w:tabs>
        <w:spacing w:before="120" w:after="120" w:line="276" w:lineRule="auto"/>
        <w:ind w:left="-284" w:firstLine="851"/>
        <w:rPr>
          <w:b/>
          <w:bCs/>
        </w:rPr>
      </w:pPr>
      <w:r w:rsidRPr="00422F3F">
        <w:rPr>
          <w:b/>
          <w:bCs/>
        </w:rPr>
        <w:lastRenderedPageBreak/>
        <w:t>4. Стан нормативно-правової бази у даній сфері правового регулювання</w:t>
      </w:r>
    </w:p>
    <w:p w:rsidR="001C1B41" w:rsidRDefault="001C1B41" w:rsidP="001C1B41">
      <w:pPr>
        <w:pStyle w:val="20"/>
        <w:spacing w:before="120" w:after="120" w:line="276" w:lineRule="auto"/>
        <w:ind w:left="-284" w:firstLine="851"/>
      </w:pPr>
      <w:r w:rsidRPr="00422F3F">
        <w:t>На даний момент правовідносини, передбачені в цьому законопроекті, регулює Податковий кодекс України.</w:t>
      </w:r>
    </w:p>
    <w:p w:rsidR="00422F3F" w:rsidRPr="00422F3F" w:rsidRDefault="00422F3F" w:rsidP="001C1B41">
      <w:pPr>
        <w:pStyle w:val="20"/>
        <w:spacing w:before="120" w:after="120" w:line="276" w:lineRule="auto"/>
        <w:ind w:left="-284" w:firstLine="851"/>
      </w:pPr>
    </w:p>
    <w:p w:rsidR="001C1B41" w:rsidRDefault="00422F3F" w:rsidP="001C1B41">
      <w:pPr>
        <w:pStyle w:val="20"/>
        <w:tabs>
          <w:tab w:val="num" w:pos="851"/>
        </w:tabs>
        <w:spacing w:before="120" w:after="120" w:line="276" w:lineRule="auto"/>
        <w:ind w:left="-284" w:firstLine="851"/>
        <w:rPr>
          <w:b/>
          <w:bCs/>
        </w:rPr>
      </w:pPr>
      <w:r>
        <w:rPr>
          <w:b/>
          <w:bCs/>
        </w:rPr>
        <w:t xml:space="preserve">5. </w:t>
      </w:r>
      <w:r w:rsidR="001C1B41" w:rsidRPr="00422F3F">
        <w:rPr>
          <w:b/>
          <w:bCs/>
        </w:rPr>
        <w:t>Фінансово-економічне обґрунтування</w:t>
      </w:r>
    </w:p>
    <w:p w:rsidR="00422F3F" w:rsidRPr="00422F3F" w:rsidRDefault="00422F3F" w:rsidP="001C1B41">
      <w:pPr>
        <w:pStyle w:val="20"/>
        <w:tabs>
          <w:tab w:val="num" w:pos="851"/>
        </w:tabs>
        <w:spacing w:before="120" w:after="120" w:line="276" w:lineRule="auto"/>
        <w:ind w:left="-284" w:firstLine="851"/>
        <w:rPr>
          <w:b/>
          <w:bCs/>
        </w:rPr>
      </w:pPr>
    </w:p>
    <w:p w:rsidR="001C1B41" w:rsidRDefault="001C1B41" w:rsidP="001C1B41">
      <w:pPr>
        <w:pStyle w:val="20"/>
        <w:spacing w:before="120" w:after="120" w:line="276" w:lineRule="auto"/>
        <w:ind w:left="-284" w:firstLine="851"/>
        <w:rPr>
          <w:bCs/>
        </w:rPr>
      </w:pPr>
      <w:r w:rsidRPr="00422F3F">
        <w:rPr>
          <w:bCs/>
        </w:rPr>
        <w:t>Прийняття цього проекту Закону не потребує додаткових витрат із Державного бюджету України</w:t>
      </w:r>
      <w:r w:rsidR="005D2AD3">
        <w:rPr>
          <w:bCs/>
        </w:rPr>
        <w:t>, оскільки законопроектом уточняється чинн</w:t>
      </w:r>
      <w:r w:rsidR="004F087A">
        <w:rPr>
          <w:bCs/>
        </w:rPr>
        <w:t>і</w:t>
      </w:r>
      <w:r w:rsidR="005D2AD3">
        <w:rPr>
          <w:bCs/>
        </w:rPr>
        <w:t xml:space="preserve"> норм</w:t>
      </w:r>
      <w:r w:rsidR="004F087A">
        <w:rPr>
          <w:bCs/>
        </w:rPr>
        <w:t>и</w:t>
      </w:r>
      <w:r w:rsidR="005D2AD3">
        <w:rPr>
          <w:bCs/>
        </w:rPr>
        <w:t xml:space="preserve"> </w:t>
      </w:r>
      <w:r w:rsidR="00042929">
        <w:rPr>
          <w:bCs/>
        </w:rPr>
        <w:t xml:space="preserve">Податкового </w:t>
      </w:r>
      <w:r w:rsidR="0099774C">
        <w:rPr>
          <w:bCs/>
        </w:rPr>
        <w:t>к</w:t>
      </w:r>
      <w:r w:rsidR="00042929">
        <w:rPr>
          <w:bCs/>
        </w:rPr>
        <w:t xml:space="preserve">одексу України. </w:t>
      </w:r>
    </w:p>
    <w:p w:rsidR="00422F3F" w:rsidRPr="00422F3F" w:rsidRDefault="00422F3F" w:rsidP="001C1B41">
      <w:pPr>
        <w:pStyle w:val="20"/>
        <w:spacing w:before="120" w:after="120" w:line="276" w:lineRule="auto"/>
        <w:ind w:left="-284" w:firstLine="851"/>
        <w:rPr>
          <w:b/>
          <w:bCs/>
        </w:rPr>
      </w:pPr>
    </w:p>
    <w:p w:rsidR="001C1B41" w:rsidRDefault="001C1B41" w:rsidP="001C1B41">
      <w:pPr>
        <w:widowControl w:val="0"/>
        <w:spacing w:before="120" w:after="120" w:line="276" w:lineRule="auto"/>
        <w:ind w:left="-284" w:firstLine="851"/>
        <w:jc w:val="both"/>
        <w:rPr>
          <w:b/>
          <w:bCs/>
          <w:sz w:val="28"/>
          <w:szCs w:val="28"/>
          <w:lang w:val="uk-UA"/>
        </w:rPr>
      </w:pPr>
      <w:r w:rsidRPr="00422F3F">
        <w:rPr>
          <w:b/>
          <w:sz w:val="28"/>
          <w:szCs w:val="28"/>
          <w:lang w:val="uk-UA"/>
        </w:rPr>
        <w:t>6.</w:t>
      </w:r>
      <w:r w:rsidRPr="00422F3F">
        <w:rPr>
          <w:sz w:val="28"/>
          <w:szCs w:val="28"/>
          <w:lang w:val="uk-UA"/>
        </w:rPr>
        <w:t xml:space="preserve"> </w:t>
      </w:r>
      <w:r w:rsidRPr="00422F3F">
        <w:rPr>
          <w:b/>
          <w:bCs/>
          <w:sz w:val="28"/>
          <w:szCs w:val="28"/>
          <w:lang w:val="uk-UA"/>
        </w:rPr>
        <w:t>Соціально-економічні та інші наслідки прийняття проекту Закону</w:t>
      </w:r>
    </w:p>
    <w:p w:rsidR="00422F3F" w:rsidRPr="00422F3F" w:rsidRDefault="00422F3F" w:rsidP="001C1B41">
      <w:pPr>
        <w:widowControl w:val="0"/>
        <w:spacing w:before="120" w:after="120" w:line="276" w:lineRule="auto"/>
        <w:ind w:left="-284" w:firstLine="851"/>
        <w:jc w:val="both"/>
        <w:rPr>
          <w:sz w:val="28"/>
          <w:szCs w:val="28"/>
          <w:lang w:val="uk-UA"/>
        </w:rPr>
      </w:pPr>
    </w:p>
    <w:p w:rsidR="004871DB" w:rsidRDefault="001C1B41" w:rsidP="004871DB">
      <w:pPr>
        <w:pStyle w:val="20"/>
        <w:spacing w:before="120" w:after="120" w:line="276" w:lineRule="auto"/>
        <w:ind w:left="-284" w:firstLine="851"/>
      </w:pPr>
      <w:r w:rsidRPr="00422F3F">
        <w:t xml:space="preserve">Прийняття проекту закону України </w:t>
      </w:r>
      <w:r w:rsidR="004F087A" w:rsidRPr="004F087A">
        <w:t>«</w:t>
      </w:r>
      <w:r w:rsidR="00E13DAD" w:rsidRPr="00E13DAD">
        <w:t>Про внесення змін до Податкового кодексу України (</w:t>
      </w:r>
      <w:r w:rsidR="00A8251E" w:rsidRPr="00A8251E">
        <w:t>щодо оподаткування майна та доходів фізичних осіб</w:t>
      </w:r>
      <w:r w:rsidR="00E13DAD" w:rsidRPr="00E13DAD">
        <w:t>)»</w:t>
      </w:r>
      <w:r w:rsidRPr="00422F3F">
        <w:t xml:space="preserve"> дозволить </w:t>
      </w:r>
      <w:r w:rsidR="00042929">
        <w:t>реалізувати</w:t>
      </w:r>
      <w:r w:rsidR="00042929" w:rsidRPr="00042929">
        <w:t xml:space="preserve"> базов</w:t>
      </w:r>
      <w:r w:rsidR="00042929">
        <w:t>і</w:t>
      </w:r>
      <w:r w:rsidR="00042929" w:rsidRPr="00042929">
        <w:t xml:space="preserve"> принцип</w:t>
      </w:r>
      <w:r w:rsidR="00042929">
        <w:t>и</w:t>
      </w:r>
      <w:r w:rsidR="00042929" w:rsidRPr="00042929">
        <w:t xml:space="preserve"> у податкових правовідносинах через юридичну або правову визначеність податку, збору, іншого обов’язкового платежу.</w:t>
      </w:r>
    </w:p>
    <w:p w:rsidR="001C1B41" w:rsidRPr="00422F3F" w:rsidRDefault="004871DB" w:rsidP="004871DB">
      <w:pPr>
        <w:pStyle w:val="20"/>
        <w:spacing w:before="120" w:after="120" w:line="276" w:lineRule="auto"/>
        <w:ind w:left="-284" w:firstLine="851"/>
      </w:pPr>
      <w:r>
        <w:t>П</w:t>
      </w:r>
      <w:r w:rsidRPr="004871DB">
        <w:t>рийняття змін</w:t>
      </w:r>
      <w:r>
        <w:t xml:space="preserve"> до Податкового кодексу України</w:t>
      </w:r>
      <w:r w:rsidRPr="004871DB">
        <w:t xml:space="preserve"> дозвол</w:t>
      </w:r>
      <w:r w:rsidR="00A8251E">
        <w:t>и</w:t>
      </w:r>
      <w:r w:rsidRPr="004871DB">
        <w:t xml:space="preserve">ть </w:t>
      </w:r>
      <w:r w:rsidR="00A8251E">
        <w:t>прозоро</w:t>
      </w:r>
      <w:r w:rsidRPr="004871DB">
        <w:t xml:space="preserve"> визначити суми податків, які підлягають сплаті фізичними особами</w:t>
      </w:r>
      <w:r>
        <w:t xml:space="preserve">, зменшить ризики винесення контролюючим органом неправомірних податкових повідомлень-рішень на об’єкти, які відчужені платником податку, а також </w:t>
      </w:r>
      <w:proofErr w:type="spellStart"/>
      <w:r>
        <w:t>надасть</w:t>
      </w:r>
      <w:proofErr w:type="spellEnd"/>
      <w:r>
        <w:t xml:space="preserve"> можливість платнику податків чітко розуміти, за який саме об’єкт він сплачує</w:t>
      </w:r>
      <w:r w:rsidR="008E1022">
        <w:t xml:space="preserve"> податки</w:t>
      </w:r>
      <w:r>
        <w:t xml:space="preserve">, та у разі відчуження </w:t>
      </w:r>
      <w:proofErr w:type="spellStart"/>
      <w:r>
        <w:t>оперативно</w:t>
      </w:r>
      <w:proofErr w:type="spellEnd"/>
      <w:r>
        <w:t xml:space="preserve"> подати контролюючому органу підтверджуючі документи для подальшої звірки і коригування суми платежу в більшу чи меншу сторону, що в свою чергу зменшить зростання неправомірного боргу та/або переплати, а також судових спорів.</w:t>
      </w:r>
    </w:p>
    <w:p w:rsidR="00AC5C58" w:rsidRPr="00422F3F" w:rsidRDefault="00AC5C58" w:rsidP="001C1B41">
      <w:pPr>
        <w:pStyle w:val="20"/>
        <w:spacing w:before="120" w:after="120" w:line="276" w:lineRule="auto"/>
        <w:ind w:left="-284" w:firstLine="851"/>
      </w:pPr>
    </w:p>
    <w:p w:rsidR="009B5C76" w:rsidRDefault="001C1B41" w:rsidP="00700865">
      <w:pPr>
        <w:pStyle w:val="20"/>
        <w:spacing w:line="480" w:lineRule="auto"/>
        <w:ind w:firstLine="0"/>
        <w:jc w:val="right"/>
        <w:rPr>
          <w:b/>
          <w:bCs/>
        </w:rPr>
      </w:pPr>
      <w:r w:rsidRPr="00422F3F">
        <w:rPr>
          <w:b/>
          <w:bCs/>
        </w:rPr>
        <w:t>Народн</w:t>
      </w:r>
      <w:r w:rsidR="00700865">
        <w:rPr>
          <w:b/>
          <w:bCs/>
        </w:rPr>
        <w:t>і</w:t>
      </w:r>
      <w:r w:rsidRPr="00422F3F">
        <w:rPr>
          <w:b/>
          <w:bCs/>
        </w:rPr>
        <w:t xml:space="preserve"> депутат</w:t>
      </w:r>
      <w:r w:rsidR="00700865">
        <w:rPr>
          <w:b/>
          <w:bCs/>
        </w:rPr>
        <w:t>и</w:t>
      </w:r>
      <w:r w:rsidRPr="00422F3F">
        <w:rPr>
          <w:b/>
          <w:bCs/>
        </w:rPr>
        <w:t xml:space="preserve"> України</w:t>
      </w:r>
      <w:r w:rsidRPr="00422F3F">
        <w:rPr>
          <w:b/>
          <w:bCs/>
        </w:rPr>
        <w:tab/>
        <w:t xml:space="preserve">                                                  О.А. Дубінський</w:t>
      </w:r>
    </w:p>
    <w:p w:rsidR="00487B3C" w:rsidRDefault="00487B3C" w:rsidP="00700865">
      <w:pPr>
        <w:pStyle w:val="20"/>
        <w:spacing w:line="480" w:lineRule="auto"/>
        <w:ind w:firstLine="0"/>
        <w:jc w:val="right"/>
        <w:rPr>
          <w:b/>
          <w:bCs/>
        </w:rPr>
      </w:pPr>
      <w:bookmarkStart w:id="4" w:name="_GoBack"/>
      <w:bookmarkEnd w:id="4"/>
    </w:p>
    <w:p w:rsidR="00700865" w:rsidRPr="004871DB" w:rsidRDefault="00700865" w:rsidP="00700865">
      <w:pPr>
        <w:pStyle w:val="20"/>
        <w:spacing w:line="480" w:lineRule="auto"/>
        <w:ind w:firstLine="0"/>
        <w:jc w:val="right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В.Н. </w:t>
      </w:r>
      <w:proofErr w:type="spellStart"/>
      <w:r w:rsidRPr="00700865">
        <w:rPr>
          <w:b/>
          <w:bCs/>
        </w:rPr>
        <w:t>М'ялик</w:t>
      </w:r>
      <w:proofErr w:type="spellEnd"/>
      <w:r w:rsidRPr="00700865">
        <w:rPr>
          <w:b/>
          <w:bCs/>
        </w:rPr>
        <w:t xml:space="preserve"> </w:t>
      </w:r>
    </w:p>
    <w:sectPr w:rsidR="00700865" w:rsidRPr="004871DB" w:rsidSect="00156B72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4C04" w:rsidRDefault="00694C04" w:rsidP="001C1B41">
      <w:r>
        <w:separator/>
      </w:r>
    </w:p>
  </w:endnote>
  <w:endnote w:type="continuationSeparator" w:id="0">
    <w:p w:rsidR="00694C04" w:rsidRDefault="00694C04" w:rsidP="001C1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Ўм-ЎмЎгЎм?Ўм§ё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4C04" w:rsidRDefault="00694C04" w:rsidP="001C1B41">
      <w:r>
        <w:separator/>
      </w:r>
    </w:p>
  </w:footnote>
  <w:footnote w:type="continuationSeparator" w:id="0">
    <w:p w:rsidR="00694C04" w:rsidRDefault="00694C04" w:rsidP="001C1B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4625" w:rsidRPr="00422F3F" w:rsidRDefault="007338F3">
    <w:pPr>
      <w:pStyle w:val="a5"/>
      <w:jc w:val="center"/>
      <w:rPr>
        <w:rFonts w:ascii="Times New Roman" w:hAnsi="Times New Roman"/>
        <w:sz w:val="28"/>
        <w:szCs w:val="28"/>
      </w:rPr>
    </w:pPr>
    <w:r w:rsidRPr="00422F3F">
      <w:rPr>
        <w:rFonts w:ascii="Times New Roman" w:hAnsi="Times New Roman"/>
        <w:sz w:val="28"/>
        <w:szCs w:val="28"/>
      </w:rPr>
      <w:fldChar w:fldCharType="begin"/>
    </w:r>
    <w:r w:rsidRPr="00422F3F">
      <w:rPr>
        <w:rFonts w:ascii="Times New Roman" w:hAnsi="Times New Roman"/>
        <w:sz w:val="28"/>
        <w:szCs w:val="28"/>
      </w:rPr>
      <w:instrText>PAGE   \* MERGEFORMAT</w:instrText>
    </w:r>
    <w:r w:rsidRPr="00422F3F">
      <w:rPr>
        <w:rFonts w:ascii="Times New Roman" w:hAnsi="Times New Roman"/>
        <w:sz w:val="28"/>
        <w:szCs w:val="28"/>
      </w:rPr>
      <w:fldChar w:fldCharType="separate"/>
    </w:r>
    <w:r w:rsidR="00487B3C">
      <w:rPr>
        <w:rFonts w:ascii="Times New Roman" w:hAnsi="Times New Roman"/>
        <w:noProof/>
        <w:sz w:val="28"/>
        <w:szCs w:val="28"/>
      </w:rPr>
      <w:t>2</w:t>
    </w:r>
    <w:r w:rsidRPr="00422F3F">
      <w:rPr>
        <w:rFonts w:ascii="Times New Roman" w:hAnsi="Times New Roman"/>
        <w:sz w:val="28"/>
        <w:szCs w:val="28"/>
      </w:rPr>
      <w:fldChar w:fldCharType="end"/>
    </w:r>
  </w:p>
  <w:p w:rsidR="00F14625" w:rsidRDefault="00F1462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7B4351"/>
    <w:multiLevelType w:val="hybridMultilevel"/>
    <w:tmpl w:val="57745FF6"/>
    <w:lvl w:ilvl="0" w:tplc="A740EF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739D0F74"/>
    <w:multiLevelType w:val="hybridMultilevel"/>
    <w:tmpl w:val="DC26262A"/>
    <w:lvl w:ilvl="0" w:tplc="D968E306">
      <w:numFmt w:val="bullet"/>
      <w:lvlText w:val="-"/>
      <w:lvlJc w:val="left"/>
      <w:pPr>
        <w:ind w:left="927" w:hanging="360"/>
      </w:pPr>
      <w:rPr>
        <w:rFonts w:ascii="Times New Roman" w:eastAsia="SimSun" w:hAnsi="Times New Roman" w:hint="default"/>
      </w:rPr>
    </w:lvl>
    <w:lvl w:ilvl="1" w:tplc="100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100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100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100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B41"/>
    <w:rsid w:val="00042929"/>
    <w:rsid w:val="00156B72"/>
    <w:rsid w:val="00170B75"/>
    <w:rsid w:val="001723FC"/>
    <w:rsid w:val="001C1B41"/>
    <w:rsid w:val="001F40D1"/>
    <w:rsid w:val="00264258"/>
    <w:rsid w:val="002C44B7"/>
    <w:rsid w:val="003B32DC"/>
    <w:rsid w:val="00414E36"/>
    <w:rsid w:val="00422F3F"/>
    <w:rsid w:val="00436F8E"/>
    <w:rsid w:val="004871DB"/>
    <w:rsid w:val="00487B3C"/>
    <w:rsid w:val="004D24A9"/>
    <w:rsid w:val="004F087A"/>
    <w:rsid w:val="005437D0"/>
    <w:rsid w:val="00544D36"/>
    <w:rsid w:val="005D2AD3"/>
    <w:rsid w:val="00694C04"/>
    <w:rsid w:val="006E1AD5"/>
    <w:rsid w:val="006E5DDD"/>
    <w:rsid w:val="00700865"/>
    <w:rsid w:val="00704BAB"/>
    <w:rsid w:val="00710A87"/>
    <w:rsid w:val="007338F3"/>
    <w:rsid w:val="00743839"/>
    <w:rsid w:val="00770EBC"/>
    <w:rsid w:val="007C4161"/>
    <w:rsid w:val="008524EA"/>
    <w:rsid w:val="00872084"/>
    <w:rsid w:val="00896D75"/>
    <w:rsid w:val="008C707C"/>
    <w:rsid w:val="008E1022"/>
    <w:rsid w:val="0099774C"/>
    <w:rsid w:val="009B41C3"/>
    <w:rsid w:val="009B5C76"/>
    <w:rsid w:val="00A8251E"/>
    <w:rsid w:val="00AC5C58"/>
    <w:rsid w:val="00BB4FCC"/>
    <w:rsid w:val="00BD4212"/>
    <w:rsid w:val="00C25F47"/>
    <w:rsid w:val="00CB31D2"/>
    <w:rsid w:val="00DA4803"/>
    <w:rsid w:val="00E13DAD"/>
    <w:rsid w:val="00E92BB4"/>
    <w:rsid w:val="00EB2770"/>
    <w:rsid w:val="00F14625"/>
    <w:rsid w:val="00F73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1BB23BD-E9E9-4F50-8A4F-D3DB81BA3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B41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1C1B41"/>
    <w:pPr>
      <w:ind w:firstLine="720"/>
      <w:jc w:val="center"/>
    </w:pPr>
    <w:rPr>
      <w:sz w:val="28"/>
      <w:szCs w:val="28"/>
      <w:lang w:val="uk-UA"/>
    </w:rPr>
  </w:style>
  <w:style w:type="character" w:customStyle="1" w:styleId="a4">
    <w:name w:val="Назва Знак"/>
    <w:basedOn w:val="a0"/>
    <w:link w:val="a3"/>
    <w:uiPriority w:val="99"/>
    <w:locked/>
    <w:rsid w:val="001C1B41"/>
    <w:rPr>
      <w:rFonts w:ascii="Times New Roman" w:eastAsia="SimSun" w:hAnsi="Times New Roman" w:cs="Times New Roman"/>
      <w:sz w:val="28"/>
      <w:szCs w:val="28"/>
      <w:lang w:val="uk-UA" w:eastAsia="ru-RU"/>
    </w:rPr>
  </w:style>
  <w:style w:type="character" w:customStyle="1" w:styleId="21">
    <w:name w:val="Основний текст 2 Знак1"/>
    <w:basedOn w:val="a0"/>
    <w:link w:val="2"/>
    <w:uiPriority w:val="99"/>
    <w:locked/>
    <w:rsid w:val="001C1B41"/>
    <w:rPr>
      <w:rFonts w:cs="Times New Roman"/>
      <w:sz w:val="24"/>
      <w:szCs w:val="24"/>
      <w:lang w:val="ru-RU" w:eastAsia="ru-RU"/>
    </w:rPr>
  </w:style>
  <w:style w:type="paragraph" w:styleId="20">
    <w:name w:val="Body Text Indent 2"/>
    <w:basedOn w:val="a"/>
    <w:link w:val="22"/>
    <w:uiPriority w:val="99"/>
    <w:rsid w:val="001C1B41"/>
    <w:pPr>
      <w:ind w:firstLine="720"/>
      <w:jc w:val="both"/>
    </w:pPr>
    <w:rPr>
      <w:sz w:val="28"/>
      <w:szCs w:val="28"/>
      <w:lang w:val="uk-UA"/>
    </w:rPr>
  </w:style>
  <w:style w:type="character" w:customStyle="1" w:styleId="22">
    <w:name w:val="Основний текст з відступом 2 Знак"/>
    <w:basedOn w:val="a0"/>
    <w:link w:val="20"/>
    <w:uiPriority w:val="99"/>
    <w:locked/>
    <w:rsid w:val="001C1B41"/>
    <w:rPr>
      <w:rFonts w:ascii="Times New Roman" w:eastAsia="SimSun" w:hAnsi="Times New Roman" w:cs="Times New Roman"/>
      <w:sz w:val="28"/>
      <w:szCs w:val="28"/>
      <w:lang w:val="uk-UA" w:eastAsia="ru-RU"/>
    </w:rPr>
  </w:style>
  <w:style w:type="character" w:customStyle="1" w:styleId="1">
    <w:name w:val="Верхній колонтитул Знак1"/>
    <w:basedOn w:val="a0"/>
    <w:link w:val="a5"/>
    <w:uiPriority w:val="99"/>
    <w:locked/>
    <w:rsid w:val="001C1B41"/>
    <w:rPr>
      <w:rFonts w:cs="Times New Roman"/>
      <w:sz w:val="24"/>
      <w:szCs w:val="24"/>
      <w:lang w:val="ru-RU" w:eastAsia="ru-RU"/>
    </w:rPr>
  </w:style>
  <w:style w:type="character" w:styleId="a6">
    <w:name w:val="Hyperlink"/>
    <w:basedOn w:val="a0"/>
    <w:uiPriority w:val="99"/>
    <w:rsid w:val="001C1B41"/>
    <w:rPr>
      <w:rFonts w:cs="Times New Roman"/>
      <w:color w:val="0000FF"/>
      <w:u w:val="single"/>
    </w:rPr>
  </w:style>
  <w:style w:type="paragraph" w:styleId="a5">
    <w:name w:val="header"/>
    <w:basedOn w:val="a"/>
    <w:link w:val="1"/>
    <w:uiPriority w:val="99"/>
    <w:rsid w:val="001C1B41"/>
    <w:pPr>
      <w:tabs>
        <w:tab w:val="center" w:pos="4677"/>
        <w:tab w:val="right" w:pos="9355"/>
      </w:tabs>
    </w:pPr>
    <w:rPr>
      <w:rFonts w:asciiTheme="minorHAnsi" w:eastAsia="Times New Roman" w:hAnsiTheme="minorHAnsi"/>
    </w:rPr>
  </w:style>
  <w:style w:type="character" w:customStyle="1" w:styleId="a7">
    <w:name w:val="Верхній колонтитул Знак"/>
    <w:basedOn w:val="a0"/>
    <w:uiPriority w:val="99"/>
    <w:semiHidden/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customStyle="1" w:styleId="23">
    <w:name w:val="Верхній колонтитул Знак2"/>
    <w:basedOn w:val="a0"/>
    <w:uiPriority w:val="99"/>
    <w:semiHidden/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customStyle="1" w:styleId="a8">
    <w:name w:val="Верхний колонтитул Знак"/>
    <w:basedOn w:val="a0"/>
    <w:uiPriority w:val="99"/>
    <w:semiHidden/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customStyle="1" w:styleId="24">
    <w:name w:val="Верхний колонтитул Знак2"/>
    <w:basedOn w:val="a0"/>
    <w:uiPriority w:val="99"/>
    <w:semiHidden/>
    <w:rsid w:val="001C1B41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2">
    <w:name w:val="Body Text 2"/>
    <w:basedOn w:val="a"/>
    <w:link w:val="21"/>
    <w:uiPriority w:val="99"/>
    <w:rsid w:val="001C1B41"/>
    <w:pPr>
      <w:ind w:left="720"/>
      <w:jc w:val="center"/>
    </w:pPr>
    <w:rPr>
      <w:rFonts w:asciiTheme="minorHAnsi" w:eastAsia="Times New Roman" w:hAnsiTheme="minorHAnsi"/>
    </w:rPr>
  </w:style>
  <w:style w:type="character" w:customStyle="1" w:styleId="25">
    <w:name w:val="Основний текст 2 Знак"/>
    <w:basedOn w:val="a0"/>
    <w:uiPriority w:val="99"/>
    <w:semiHidden/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customStyle="1" w:styleId="220">
    <w:name w:val="Основний текст 2 Знак2"/>
    <w:basedOn w:val="a0"/>
    <w:uiPriority w:val="99"/>
    <w:semiHidden/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customStyle="1" w:styleId="26">
    <w:name w:val="Основной текст 2 Знак"/>
    <w:basedOn w:val="a0"/>
    <w:uiPriority w:val="99"/>
    <w:semiHidden/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customStyle="1" w:styleId="221">
    <w:name w:val="Основной текст 2 Знак2"/>
    <w:basedOn w:val="a0"/>
    <w:uiPriority w:val="99"/>
    <w:semiHidden/>
    <w:rsid w:val="001C1B41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styleId="a9">
    <w:name w:val="Table Grid"/>
    <w:basedOn w:val="a1"/>
    <w:uiPriority w:val="99"/>
    <w:rsid w:val="001C1B41"/>
    <w:pPr>
      <w:spacing w:after="0" w:line="240" w:lineRule="auto"/>
    </w:pPr>
    <w:rPr>
      <w:rFonts w:ascii="Times New Roman" w:eastAsia="SimSun" w:hAnsi="Times New Roman" w:cs="Times New Roman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note text"/>
    <w:basedOn w:val="a"/>
    <w:link w:val="ab"/>
    <w:uiPriority w:val="99"/>
    <w:semiHidden/>
    <w:unhideWhenUsed/>
    <w:rsid w:val="001C1B41"/>
    <w:rPr>
      <w:sz w:val="20"/>
      <w:szCs w:val="20"/>
    </w:rPr>
  </w:style>
  <w:style w:type="character" w:customStyle="1" w:styleId="ab">
    <w:name w:val="Текст виноски Знак"/>
    <w:basedOn w:val="a0"/>
    <w:link w:val="aa"/>
    <w:uiPriority w:val="99"/>
    <w:semiHidden/>
    <w:locked/>
    <w:rsid w:val="001C1B41"/>
    <w:rPr>
      <w:rFonts w:ascii="Times New Roman" w:eastAsia="SimSun" w:hAnsi="Times New Roman" w:cs="Times New Roman"/>
      <w:sz w:val="20"/>
      <w:szCs w:val="20"/>
      <w:lang w:val="ru-RU" w:eastAsia="ru-RU"/>
    </w:rPr>
  </w:style>
  <w:style w:type="character" w:styleId="ac">
    <w:name w:val="footnote reference"/>
    <w:basedOn w:val="a0"/>
    <w:uiPriority w:val="99"/>
    <w:semiHidden/>
    <w:unhideWhenUsed/>
    <w:rsid w:val="001C1B41"/>
    <w:rPr>
      <w:rFonts w:cs="Times New Roman"/>
      <w:vertAlign w:val="superscript"/>
    </w:rPr>
  </w:style>
  <w:style w:type="table" w:customStyle="1" w:styleId="10">
    <w:name w:val="Сетка таблицы1"/>
    <w:basedOn w:val="a1"/>
    <w:next w:val="a9"/>
    <w:uiPriority w:val="39"/>
    <w:rsid w:val="001C1B41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er"/>
    <w:basedOn w:val="a"/>
    <w:link w:val="ae"/>
    <w:uiPriority w:val="99"/>
    <w:unhideWhenUsed/>
    <w:rsid w:val="00422F3F"/>
    <w:pPr>
      <w:tabs>
        <w:tab w:val="center" w:pos="4677"/>
        <w:tab w:val="right" w:pos="9355"/>
      </w:tabs>
    </w:pPr>
  </w:style>
  <w:style w:type="character" w:customStyle="1" w:styleId="ae">
    <w:name w:val="Нижній колонтитул Знак"/>
    <w:basedOn w:val="a0"/>
    <w:link w:val="ad"/>
    <w:uiPriority w:val="99"/>
    <w:locked/>
    <w:rsid w:val="00422F3F"/>
    <w:rPr>
      <w:rFonts w:ascii="Times New Roman" w:eastAsia="SimSu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4652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D87F7F-097D-4D4A-B359-C2E9D1287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5352</Words>
  <Characters>3052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2020-05-25T13:05:00Z</dcterms:created>
  <dcterms:modified xsi:type="dcterms:W3CDTF">2020-05-25T13:05:00Z</dcterms:modified>
</cp:coreProperties>
</file>