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E5" w:rsidRPr="00CF2FE5" w:rsidRDefault="00CF2FE5" w:rsidP="00CF2F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b/>
          <w:sz w:val="28"/>
          <w:szCs w:val="28"/>
          <w:lang w:val="uk-UA"/>
        </w:rPr>
        <w:t>Додаток І</w:t>
      </w:r>
    </w:p>
    <w:p w:rsidR="00CF2FE5" w:rsidRDefault="000F5FFA" w:rsidP="00CF2FE5">
      <w:pPr>
        <w:jc w:val="both"/>
        <w:rPr>
          <w:rFonts w:ascii="Times New Roman" w:hAnsi="Times New Roman" w:cs="Times New Roman"/>
          <w:b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Небезпечні</w:t>
      </w:r>
      <w:r w:rsidR="00A408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речовин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CF2FE5" w:rsidRPr="00CF2F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цілей визначення небезпечних видів діяльності</w:t>
      </w:r>
      <w:r w:rsidR="00CF2FE5" w:rsidRPr="00CF2FE5">
        <w:rPr>
          <w:rFonts w:ascii="Times New Roman" w:hAnsi="Times New Roman" w:cs="Times New Roman"/>
          <w:b/>
          <w:sz w:val="28"/>
          <w:szCs w:val="28"/>
          <w:vertAlign w:val="superscript"/>
          <w:lang w:val="uk-UA"/>
        </w:rPr>
        <w:t>1</w:t>
      </w:r>
    </w:p>
    <w:p w:rsidR="00CF2FE5" w:rsidRPr="00CF2FE5" w:rsidRDefault="00CF2FE5" w:rsidP="000F5F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Якщо речовина або суміш, які конкретно вказані в частині ІІ, входять також в одну або декілька категорій, наведених </w:t>
      </w:r>
      <w:r w:rsidR="00606DF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 частині І, то в </w:t>
      </w:r>
      <w:r w:rsidR="000F5FFA">
        <w:rPr>
          <w:rFonts w:ascii="Times New Roman" w:hAnsi="Times New Roman" w:cs="Times New Roman"/>
          <w:sz w:val="28"/>
          <w:szCs w:val="28"/>
          <w:lang w:val="uk-UA"/>
        </w:rPr>
        <w:t>такому випадку використовується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 гранична кількість, вказана в частині ІІ. </w:t>
      </w:r>
      <w:bookmarkStart w:id="0" w:name="_GoBack"/>
      <w:bookmarkEnd w:id="0"/>
    </w:p>
    <w:p w:rsidR="00CF2FE5" w:rsidRPr="00CF2FE5" w:rsidRDefault="00CF2FE5" w:rsidP="000F5F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Для визначення небезпечних видів діяльності Сторони </w:t>
      </w:r>
      <w:r w:rsidR="00606DFC">
        <w:rPr>
          <w:rFonts w:ascii="Times New Roman" w:hAnsi="Times New Roman" w:cs="Times New Roman"/>
          <w:sz w:val="28"/>
          <w:szCs w:val="28"/>
          <w:lang w:val="uk-UA"/>
        </w:rPr>
        <w:t>беруть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 до уваги фактичні або ймовірні небезпечні характеристики </w:t>
      </w:r>
      <w:r w:rsidR="0027772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>/або кількості усіх присутніх небезпечних речовин або небезпечних речовин</w:t>
      </w:r>
      <w:r w:rsidR="000F5F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яких раціонально передбачити можливість їх створення при втраті контролю над будь-якою діяльн</w:t>
      </w:r>
      <w:r w:rsidR="0027772A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Pr="00CF2FE5">
        <w:rPr>
          <w:rFonts w:ascii="Times New Roman" w:hAnsi="Times New Roman" w:cs="Times New Roman"/>
          <w:sz w:val="28"/>
          <w:szCs w:val="28"/>
          <w:lang w:val="uk-UA"/>
        </w:rPr>
        <w:t>, в тому числі діяльністю щодо зберігання у межах того чи іншого небезпечного виду діяльності.</w:t>
      </w:r>
    </w:p>
    <w:p w:rsidR="00CF2FE5" w:rsidRPr="00CF2FE5" w:rsidRDefault="00CF2FE5" w:rsidP="00CF2F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b/>
          <w:sz w:val="28"/>
          <w:szCs w:val="28"/>
          <w:lang w:val="uk-UA"/>
        </w:rPr>
        <w:t>Частина І</w:t>
      </w:r>
    </w:p>
    <w:p w:rsidR="00CF2FE5" w:rsidRPr="00CF2FE5" w:rsidRDefault="00CF2FE5" w:rsidP="00CF2F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b/>
          <w:sz w:val="28"/>
          <w:szCs w:val="28"/>
          <w:lang w:val="uk-UA"/>
        </w:rPr>
        <w:t>Категорії речовин і сумішей,  не вказаних конкретно у частині ІІ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7197"/>
        <w:gridCol w:w="2091"/>
      </w:tblGrid>
      <w:tr w:rsidR="00CF2FE5" w:rsidRPr="00CF2FE5" w:rsidTr="00B16150">
        <w:tc>
          <w:tcPr>
            <w:tcW w:w="7763" w:type="dxa"/>
            <w:gridSpan w:val="2"/>
          </w:tcPr>
          <w:p w:rsidR="00CF2FE5" w:rsidRPr="00CF2FE5" w:rsidRDefault="00CF2FE5" w:rsidP="00B1615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Категорія </w:t>
            </w:r>
            <w:r w:rsidR="00B1615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згідно </w:t>
            </w: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із Узгодженою на глобальному рівні системою класифікації небезпеки та маркуванн</w:t>
            </w:r>
            <w:r w:rsidR="00B1615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</w:t>
            </w: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хімічної продукції ООН (СГС)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Гранична кількість (у метр. то</w:t>
            </w:r>
            <w:r w:rsidR="00B1615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</w:t>
            </w: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нах)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Гостроток</w:t>
            </w:r>
            <w:r w:rsidR="000F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сичні, клас 1, усі шляхи потрапляння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організм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Гостротоксичні: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4B2160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 2, усі шляхи потрапляння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організм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4B21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 3, інгаляційний шлях потрапляння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організм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907651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Специфічна токсичність для окремого цільового органу, при поодинокому вплив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клас 1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B161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Вибухові - нестійкі вибухові або вибухові, в тих випадках коли речовина, суміш або виріб входить в підклас 1.1, 1.2, 1.3, 1.5 або 1.6 глави 2.1.2 критеріїв СГС, або речовини або суміші, що володіють вибуховими властивостями згідно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випробуванням серії 2, передбаченим 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частині I "Випробування і критерії" Рекомендацій ООН із перевезення небезпечних вантажів, та не належать до класів небезпеки "Органічні пероксиди" або Речовини і суміші, що саморозкладаються"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Вибухові, у тих випадках коли речовина, суміш або виріб входить у підклас 1.4 глави 2.1.2 критеріїв СГС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7,8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CF2F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Займисті гази, клас 1 або 2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9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97" w:type="dxa"/>
          </w:tcPr>
          <w:p w:rsidR="00CF2FE5" w:rsidRPr="00CF2FE5" w:rsidRDefault="00CF2FE5" w:rsidP="00B161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розолі,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 1 або 2, які містять горючі гази класу 1 або 2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горючі рідини класу 1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 (нетто)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CF2F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97" w:type="dxa"/>
          </w:tcPr>
          <w:p w:rsidR="00CF2FE5" w:rsidRPr="00CF2FE5" w:rsidRDefault="00CF2FE5" w:rsidP="00B16150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розолі,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 1 або 2, які не містять горючі гази класу 1 або 2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горючі рідини класу 1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11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50 000 (нетто)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  <w:r w:rsidRPr="00CF2F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97" w:type="dxa"/>
          </w:tcPr>
          <w:p w:rsidR="00CF2FE5" w:rsidRPr="00CF2FE5" w:rsidRDefault="00B16150" w:rsidP="00B16150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Окислююч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гази, клас 1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12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CF2F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97" w:type="dxa"/>
          </w:tcPr>
          <w:p w:rsidR="00CF2FE5" w:rsidRPr="00CF2FE5" w:rsidRDefault="004F75F3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Легкозаймисті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рідини: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Горючі рідини, клас 1, або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4F75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Горючі рідини, клас 2 або 3, я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 зберігаються при температурі, що перевищує їх 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температур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кипіння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13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606DFC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4F75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рідини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температура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спалаху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яких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нижче або дорівнює 60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С, я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 зберігаються при температурі, що перевищує 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їх температур</w:t>
            </w:r>
            <w:r w:rsidR="004F75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кипіння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14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7197" w:type="dxa"/>
          </w:tcPr>
          <w:p w:rsidR="00CF2FE5" w:rsidRPr="00CF2FE5" w:rsidRDefault="004F75F3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Легкозаймисті</w:t>
            </w:r>
            <w:r w:rsidR="00CF2FE5"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рідини: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Горючі рідини, клас 2 або 3, які при особливих умовах обробки, таких як висока температура або високий тиск, можуть створювати небезпеку промислової аварії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15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або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606DFC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9A0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рідини</w:t>
            </w:r>
            <w:r w:rsidR="009A0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температур</w:t>
            </w:r>
            <w:r w:rsidR="009A0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спалаху</w:t>
            </w:r>
            <w:r w:rsidR="009A0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яких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нижче або дорівнює 60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0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С, які при особливих умовах обробки, таких як висока температура або високий тиск, можуть створювати небезпеку промислової аварії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14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7197" w:type="dxa"/>
          </w:tcPr>
          <w:p w:rsidR="00CF2FE5" w:rsidRPr="00CF2FE5" w:rsidRDefault="00CF2FE5" w:rsidP="009A049F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Горючі рідини, клас 2 або 3, не </w:t>
            </w:r>
            <w:r w:rsidR="009A0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охоплені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пунктами 10 і 11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16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50 000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що саморозкладаються, та органічні пероксиди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що саморозкладаються, тип А або В, або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Органічні пероксиди, тип А або В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17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7197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що саморозкладаються, та органічні пероксиди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F2FE5" w:rsidRPr="0088607D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732F9A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що саморозкладаються,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типу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або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7" w:type="dxa"/>
          </w:tcPr>
          <w:p w:rsidR="00CF2FE5" w:rsidRPr="00CF2FE5" w:rsidRDefault="00732F9A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рганічні пероксиди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типу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32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18</w:t>
            </w:r>
          </w:p>
        </w:tc>
        <w:tc>
          <w:tcPr>
            <w:tcW w:w="2091" w:type="dxa"/>
          </w:tcPr>
          <w:p w:rsidR="00CF2FE5" w:rsidRPr="00CF2FE5" w:rsidRDefault="00CF2FE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2FE5" w:rsidRPr="00CF2FE5" w:rsidTr="00B16150">
        <w:tc>
          <w:tcPr>
            <w:tcW w:w="566" w:type="dxa"/>
          </w:tcPr>
          <w:p w:rsidR="00CF2FE5" w:rsidRPr="00CF2FE5" w:rsidRDefault="00B01545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7197" w:type="dxa"/>
          </w:tcPr>
          <w:p w:rsidR="00CF2FE5" w:rsidRPr="00CF2FE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Пірофорні рідини та тверді речовини, клас 1</w:t>
            </w:r>
          </w:p>
        </w:tc>
        <w:tc>
          <w:tcPr>
            <w:tcW w:w="2091" w:type="dxa"/>
          </w:tcPr>
          <w:p w:rsidR="00CF2FE5" w:rsidRPr="00CF2FE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B01545" w:rsidRPr="00CF2FE5" w:rsidTr="00B16150">
        <w:tc>
          <w:tcPr>
            <w:tcW w:w="566" w:type="dxa"/>
          </w:tcPr>
          <w:p w:rsidR="00B0154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7197" w:type="dxa"/>
          </w:tcPr>
          <w:p w:rsidR="00B01545" w:rsidRPr="00CF2FE5" w:rsidRDefault="006853E2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Окислюючі рідини та тверді речовини, клас 1,2 або 3</w:t>
            </w:r>
          </w:p>
        </w:tc>
        <w:tc>
          <w:tcPr>
            <w:tcW w:w="2091" w:type="dxa"/>
          </w:tcPr>
          <w:p w:rsidR="00B01545" w:rsidRPr="00CF2FE5" w:rsidRDefault="006853E2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B01545" w:rsidRPr="00CF2FE5" w:rsidTr="00B16150">
        <w:tc>
          <w:tcPr>
            <w:tcW w:w="566" w:type="dxa"/>
          </w:tcPr>
          <w:p w:rsidR="00B0154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7197" w:type="dxa"/>
          </w:tcPr>
          <w:p w:rsidR="00B01545" w:rsidRPr="00CD6723" w:rsidRDefault="006853E2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Речовини, небезпечні у водному середовищі, клас гострої токсичності </w:t>
            </w:r>
            <w:r w:rsidR="00CD6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або клас хронічної токсичності 1</w:t>
            </w:r>
            <w:r w:rsidR="00CD672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19</w:t>
            </w:r>
          </w:p>
        </w:tc>
        <w:tc>
          <w:tcPr>
            <w:tcW w:w="2091" w:type="dxa"/>
          </w:tcPr>
          <w:p w:rsidR="00B01545" w:rsidRPr="00CF2FE5" w:rsidRDefault="00CD6723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B01545" w:rsidRPr="00CF2FE5" w:rsidTr="00B16150">
        <w:tc>
          <w:tcPr>
            <w:tcW w:w="566" w:type="dxa"/>
          </w:tcPr>
          <w:p w:rsidR="00B0154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7197" w:type="dxa"/>
          </w:tcPr>
          <w:p w:rsidR="00B01545" w:rsidRPr="00BF113D" w:rsidRDefault="00BF113D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Речовини, небезпечні у водному середовищі, клас хронічної токсичності 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20</w:t>
            </w:r>
          </w:p>
        </w:tc>
        <w:tc>
          <w:tcPr>
            <w:tcW w:w="2091" w:type="dxa"/>
          </w:tcPr>
          <w:p w:rsidR="00B01545" w:rsidRPr="00CF2FE5" w:rsidRDefault="00BF113D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B01545" w:rsidRPr="00CF2FE5" w:rsidTr="00B16150">
        <w:tc>
          <w:tcPr>
            <w:tcW w:w="566" w:type="dxa"/>
          </w:tcPr>
          <w:p w:rsidR="00B0154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7197" w:type="dxa"/>
          </w:tcPr>
          <w:p w:rsidR="00B01545" w:rsidRPr="00CF2FE5" w:rsidRDefault="0013415F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Речовини і суміші, які вступають у небезпечну реакцію з водою, такі як ацетилхлорид, тетрахлорид титана </w:t>
            </w:r>
          </w:p>
        </w:tc>
        <w:tc>
          <w:tcPr>
            <w:tcW w:w="2091" w:type="dxa"/>
          </w:tcPr>
          <w:p w:rsidR="00B01545" w:rsidRPr="00CF2FE5" w:rsidRDefault="004B5DDC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B01545" w:rsidRPr="00CF2FE5" w:rsidTr="00B16150">
        <w:tc>
          <w:tcPr>
            <w:tcW w:w="566" w:type="dxa"/>
          </w:tcPr>
          <w:p w:rsidR="00B01545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7197" w:type="dxa"/>
          </w:tcPr>
          <w:p w:rsidR="00B01545" w:rsidRPr="001E3B4A" w:rsidRDefault="001E3B4A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які при контакті з водою виділяють горючі гази, категорія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21</w:t>
            </w:r>
          </w:p>
        </w:tc>
        <w:tc>
          <w:tcPr>
            <w:tcW w:w="2091" w:type="dxa"/>
          </w:tcPr>
          <w:p w:rsidR="00B01545" w:rsidRPr="00CF2FE5" w:rsidRDefault="00854E98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2E7C66" w:rsidRPr="00CF2FE5" w:rsidTr="00B16150">
        <w:tc>
          <w:tcPr>
            <w:tcW w:w="566" w:type="dxa"/>
          </w:tcPr>
          <w:p w:rsidR="002E7C66" w:rsidRDefault="002E7C66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7197" w:type="dxa"/>
          </w:tcPr>
          <w:p w:rsidR="002E7C66" w:rsidRPr="00777B55" w:rsidRDefault="0007706C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Речовини і суміші, які при контакті з водою виділяють токсичні гази (речовини і суміші</w:t>
            </w:r>
            <w:r w:rsidR="009541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контакті з водою або вологим повітрям виділяють </w:t>
            </w:r>
            <w:r w:rsidR="00777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гази, що відносяться до гостро токсичних класу 1, 2 або 3, такі як фосфід алюмінію або </w:t>
            </w:r>
            <w:r w:rsidR="009541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п’ятисір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чистий</w:t>
            </w:r>
            <w:r w:rsidR="0017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фосфор</w:t>
            </w:r>
            <w:r w:rsidR="00E85C15" w:rsidRPr="00E85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176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91" w:type="dxa"/>
          </w:tcPr>
          <w:p w:rsidR="002E7C66" w:rsidRPr="00CF2FE5" w:rsidRDefault="0017669C" w:rsidP="00CF2F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</w:tbl>
    <w:p w:rsidR="00CF2FE5" w:rsidRDefault="00CF2FE5" w:rsidP="00CF2F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2F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2FE5" w:rsidRDefault="00AD457F" w:rsidP="00CF2F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57F">
        <w:rPr>
          <w:rFonts w:ascii="Times New Roman" w:hAnsi="Times New Roman" w:cs="Times New Roman"/>
          <w:b/>
          <w:sz w:val="28"/>
          <w:szCs w:val="28"/>
          <w:lang w:val="uk-UA"/>
        </w:rPr>
        <w:t>Частина ІІ</w:t>
      </w:r>
    </w:p>
    <w:p w:rsidR="00AD457F" w:rsidRPr="00CF2FE5" w:rsidRDefault="00AD457F" w:rsidP="00CF2F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Конкретні речовини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6630"/>
        <w:gridCol w:w="2658"/>
      </w:tblGrid>
      <w:tr w:rsidR="00623F03" w:rsidRPr="00CF2FE5" w:rsidTr="00AD457F">
        <w:tc>
          <w:tcPr>
            <w:tcW w:w="7196" w:type="dxa"/>
            <w:gridSpan w:val="2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B79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Речовина</w:t>
            </w:r>
          </w:p>
        </w:tc>
        <w:tc>
          <w:tcPr>
            <w:tcW w:w="2658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Гранична кількість (у метр. тон</w:t>
            </w:r>
            <w:r w:rsidR="00E0354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</w:t>
            </w:r>
            <w:r w:rsidRPr="00CF2F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ах)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F2F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630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амонію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22</w:t>
            </w:r>
          </w:p>
        </w:tc>
        <w:tc>
          <w:tcPr>
            <w:tcW w:w="2658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</w:p>
        </w:tc>
        <w:tc>
          <w:tcPr>
            <w:tcW w:w="6630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амонію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23</w:t>
            </w:r>
          </w:p>
        </w:tc>
        <w:tc>
          <w:tcPr>
            <w:tcW w:w="2658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1c.</w:t>
            </w:r>
          </w:p>
        </w:tc>
        <w:tc>
          <w:tcPr>
            <w:tcW w:w="6630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амонію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24</w:t>
            </w:r>
          </w:p>
        </w:tc>
        <w:tc>
          <w:tcPr>
            <w:tcW w:w="2658" w:type="dxa"/>
          </w:tcPr>
          <w:p w:rsidR="00AD457F" w:rsidRPr="00CF2FE5" w:rsidRDefault="00AD457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2 500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1d.</w:t>
            </w:r>
          </w:p>
        </w:tc>
        <w:tc>
          <w:tcPr>
            <w:tcW w:w="6630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амонію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25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2a.</w:t>
            </w:r>
          </w:p>
        </w:tc>
        <w:tc>
          <w:tcPr>
            <w:tcW w:w="6630" w:type="dxa"/>
          </w:tcPr>
          <w:p w:rsidR="00AD457F" w:rsidRPr="00CF2FE5" w:rsidRDefault="00AD5A8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калію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26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2b.</w:t>
            </w:r>
          </w:p>
        </w:tc>
        <w:tc>
          <w:tcPr>
            <w:tcW w:w="6630" w:type="dxa"/>
          </w:tcPr>
          <w:p w:rsidR="00AD457F" w:rsidRPr="00CF2FE5" w:rsidRDefault="00AD5A8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Нітрат калію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27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6630" w:type="dxa"/>
          </w:tcPr>
          <w:p w:rsidR="00AD457F" w:rsidRPr="00CF2FE5" w:rsidRDefault="004043AE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Пентаоксид миш’яку, миш’якова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кислота і/або її солі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6630" w:type="dxa"/>
          </w:tcPr>
          <w:p w:rsidR="00AD457F" w:rsidRPr="00CF2FE5" w:rsidRDefault="004043AE" w:rsidP="00907651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Триоксид миш’яку, миш’яков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(ІІІ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кислота і/або її солі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6630" w:type="dxa"/>
          </w:tcPr>
          <w:p w:rsidR="00AD457F" w:rsidRPr="00CF2FE5" w:rsidRDefault="004043AE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Бром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6630" w:type="dxa"/>
          </w:tcPr>
          <w:p w:rsidR="00AD457F" w:rsidRPr="00CF2FE5" w:rsidRDefault="004043AE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Хлор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23F0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6630" w:type="dxa"/>
          </w:tcPr>
          <w:p w:rsidR="00AD457F" w:rsidRPr="00CF2FE5" w:rsidRDefault="00695D3C" w:rsidP="00907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З’єднання</w:t>
            </w:r>
            <w:r w:rsidR="005E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нікел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5E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вигл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яді інгаляційного порошку: моно</w:t>
            </w:r>
            <w:r w:rsidR="005E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оксид нікелю, діоксин нікелю, сульфід нікелю, дисульфід тринікелю, триоксид д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5E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нікеля</w:t>
            </w:r>
          </w:p>
        </w:tc>
        <w:tc>
          <w:tcPr>
            <w:tcW w:w="2658" w:type="dxa"/>
          </w:tcPr>
          <w:p w:rsidR="00AD457F" w:rsidRPr="00CF2FE5" w:rsidRDefault="009F3D9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5E365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30" w:type="dxa"/>
          </w:tcPr>
          <w:p w:rsidR="00AD457F" w:rsidRPr="00CF2FE5" w:rsidRDefault="001A03AB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6E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6E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ленімін </w:t>
            </w:r>
          </w:p>
        </w:tc>
        <w:tc>
          <w:tcPr>
            <w:tcW w:w="2658" w:type="dxa"/>
          </w:tcPr>
          <w:p w:rsidR="00AD457F" w:rsidRPr="00CF2FE5" w:rsidRDefault="006E0F4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6E0F4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630" w:type="dxa"/>
          </w:tcPr>
          <w:p w:rsidR="00AD457F" w:rsidRPr="00CF2FE5" w:rsidRDefault="006E0F4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Фтор</w:t>
            </w:r>
          </w:p>
        </w:tc>
        <w:tc>
          <w:tcPr>
            <w:tcW w:w="2658" w:type="dxa"/>
          </w:tcPr>
          <w:p w:rsidR="00AD457F" w:rsidRPr="00CF2FE5" w:rsidRDefault="006E0F4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30" w:type="dxa"/>
          </w:tcPr>
          <w:p w:rsidR="00AD457F" w:rsidRPr="00CF2FE5" w:rsidRDefault="00C7415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Формальдегід (концентрація </w:t>
            </w:r>
            <w:r w:rsidR="009B25DB" w:rsidRPr="009B25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≥ 90%)</w:t>
            </w:r>
          </w:p>
        </w:tc>
        <w:tc>
          <w:tcPr>
            <w:tcW w:w="2658" w:type="dxa"/>
          </w:tcPr>
          <w:p w:rsidR="00AD457F" w:rsidRPr="00CF2FE5" w:rsidRDefault="009B25D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AD457F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30" w:type="dxa"/>
          </w:tcPr>
          <w:p w:rsidR="00AD457F" w:rsidRPr="00695D3C" w:rsidRDefault="00695D3C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Водень</w:t>
            </w:r>
          </w:p>
        </w:tc>
        <w:tc>
          <w:tcPr>
            <w:tcW w:w="2658" w:type="dxa"/>
          </w:tcPr>
          <w:p w:rsidR="00AD457F" w:rsidRPr="00CF2FE5" w:rsidRDefault="009B25D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30" w:type="dxa"/>
          </w:tcPr>
          <w:p w:rsidR="00AD457F" w:rsidRPr="00CF2FE5" w:rsidRDefault="00F013F2" w:rsidP="00695D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Хлоро</w:t>
            </w:r>
            <w:r w:rsidR="00695D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водень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(зріджений газ)</w:t>
            </w:r>
          </w:p>
        </w:tc>
        <w:tc>
          <w:tcPr>
            <w:tcW w:w="2658" w:type="dxa"/>
          </w:tcPr>
          <w:p w:rsidR="00AD457F" w:rsidRPr="00CF2FE5" w:rsidRDefault="00F013F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30" w:type="dxa"/>
          </w:tcPr>
          <w:p w:rsidR="00AD457F" w:rsidRPr="00CF2FE5" w:rsidRDefault="00F013F2" w:rsidP="00695D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Алк</w:t>
            </w:r>
            <w:r w:rsidR="00695D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 свинц</w:t>
            </w:r>
            <w:r w:rsidR="00695D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58" w:type="dxa"/>
          </w:tcPr>
          <w:p w:rsidR="00AD457F" w:rsidRPr="00CF2FE5" w:rsidRDefault="00F013F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AD457F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30" w:type="dxa"/>
          </w:tcPr>
          <w:p w:rsidR="00AD457F" w:rsidRPr="00CF2FE5" w:rsidRDefault="00031CAA" w:rsidP="00695D3C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Зріджені горючі гази, клас 1 або 2 (включаючи зріджений </w:t>
            </w:r>
            <w:r w:rsidR="00695D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нафтовий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газ), або природній газ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28</w:t>
            </w:r>
          </w:p>
        </w:tc>
        <w:tc>
          <w:tcPr>
            <w:tcW w:w="2658" w:type="dxa"/>
          </w:tcPr>
          <w:p w:rsidR="00AD457F" w:rsidRPr="00CF2FE5" w:rsidRDefault="00031CA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630" w:type="dxa"/>
          </w:tcPr>
          <w:p w:rsidR="00AD457F" w:rsidRPr="00CF2FE5" w:rsidRDefault="003E524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Ацетилен</w:t>
            </w:r>
          </w:p>
        </w:tc>
        <w:tc>
          <w:tcPr>
            <w:tcW w:w="2658" w:type="dxa"/>
          </w:tcPr>
          <w:p w:rsidR="00AD457F" w:rsidRPr="00CF2FE5" w:rsidRDefault="003E524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630" w:type="dxa"/>
          </w:tcPr>
          <w:p w:rsidR="00AD457F" w:rsidRPr="00CF2FE5" w:rsidRDefault="00A80A3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Оксид </w:t>
            </w:r>
            <w:r w:rsidR="0020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етилену</w:t>
            </w:r>
          </w:p>
        </w:tc>
        <w:tc>
          <w:tcPr>
            <w:tcW w:w="2658" w:type="dxa"/>
          </w:tcPr>
          <w:p w:rsidR="00AD457F" w:rsidRPr="00CF2FE5" w:rsidRDefault="003E524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630" w:type="dxa"/>
          </w:tcPr>
          <w:p w:rsidR="00AD457F" w:rsidRPr="00CF2FE5" w:rsidRDefault="0020310A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Оксид пропилен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658" w:type="dxa"/>
          </w:tcPr>
          <w:p w:rsidR="00AD457F" w:rsidRPr="00CF2FE5" w:rsidRDefault="003E524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630" w:type="dxa"/>
          </w:tcPr>
          <w:p w:rsidR="00AD457F" w:rsidRPr="00CF2FE5" w:rsidRDefault="00FE0B7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Метанол</w:t>
            </w:r>
          </w:p>
        </w:tc>
        <w:tc>
          <w:tcPr>
            <w:tcW w:w="2658" w:type="dxa"/>
          </w:tcPr>
          <w:p w:rsidR="00AD457F" w:rsidRPr="00CF2FE5" w:rsidRDefault="00FE0B7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630" w:type="dxa"/>
          </w:tcPr>
          <w:p w:rsidR="00AD457F" w:rsidRPr="00CF2FE5" w:rsidRDefault="00CD6B40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4,4’</w:t>
            </w:r>
            <w:r w:rsidR="00BB01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-метилен-б</w:t>
            </w:r>
            <w:r w:rsidR="00340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BB01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 (2-хлоранилин) і/або його солі у ви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гляді</w:t>
            </w:r>
            <w:r w:rsidR="00BB01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порошку </w:t>
            </w:r>
          </w:p>
        </w:tc>
        <w:tc>
          <w:tcPr>
            <w:tcW w:w="2658" w:type="dxa"/>
          </w:tcPr>
          <w:p w:rsidR="00AD457F" w:rsidRPr="00CF2FE5" w:rsidRDefault="00BB01EC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0,01</w:t>
            </w:r>
          </w:p>
        </w:tc>
      </w:tr>
      <w:tr w:rsidR="00AD457F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630" w:type="dxa"/>
          </w:tcPr>
          <w:p w:rsidR="00AD457F" w:rsidRPr="00CF2FE5" w:rsidRDefault="00BB01EC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Метил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зоцианат </w:t>
            </w:r>
          </w:p>
        </w:tc>
        <w:tc>
          <w:tcPr>
            <w:tcW w:w="2658" w:type="dxa"/>
          </w:tcPr>
          <w:p w:rsidR="00AD457F" w:rsidRPr="00CF2FE5" w:rsidRDefault="00BB01EC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0,15</w:t>
            </w:r>
          </w:p>
        </w:tc>
      </w:tr>
      <w:tr w:rsidR="00AD457F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630" w:type="dxa"/>
          </w:tcPr>
          <w:p w:rsidR="00AD457F" w:rsidRPr="00CF2FE5" w:rsidRDefault="005B64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Кисень </w:t>
            </w:r>
          </w:p>
        </w:tc>
        <w:tc>
          <w:tcPr>
            <w:tcW w:w="2658" w:type="dxa"/>
          </w:tcPr>
          <w:p w:rsidR="00AD457F" w:rsidRPr="00CF2FE5" w:rsidRDefault="005B64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2 000</w:t>
            </w:r>
          </w:p>
        </w:tc>
      </w:tr>
      <w:tr w:rsidR="00AD457F" w:rsidRPr="00CF2FE5" w:rsidTr="00AD457F">
        <w:tc>
          <w:tcPr>
            <w:tcW w:w="566" w:type="dxa"/>
          </w:tcPr>
          <w:p w:rsidR="00AD457F" w:rsidRPr="00CF2FE5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630" w:type="dxa"/>
          </w:tcPr>
          <w:p w:rsidR="00AD457F" w:rsidRPr="00CF2FE5" w:rsidRDefault="00340251" w:rsidP="00907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озицинат толутоола (2,4 – д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озоцианатотолуол і 2,6 – д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озоцианатотолуол)</w:t>
            </w:r>
          </w:p>
        </w:tc>
        <w:tc>
          <w:tcPr>
            <w:tcW w:w="2658" w:type="dxa"/>
          </w:tcPr>
          <w:p w:rsidR="00AD457F" w:rsidRPr="00CF2FE5" w:rsidRDefault="00340251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630" w:type="dxa"/>
          </w:tcPr>
          <w:p w:rsidR="00AD457F" w:rsidRPr="00CF2FE5" w:rsidRDefault="00E85C15" w:rsidP="001A03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Хлорокис</w:t>
            </w:r>
            <w:r w:rsidR="00777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вугле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цю</w:t>
            </w:r>
            <w:r w:rsidR="00777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(фосген) </w:t>
            </w:r>
          </w:p>
        </w:tc>
        <w:tc>
          <w:tcPr>
            <w:tcW w:w="2658" w:type="dxa"/>
          </w:tcPr>
          <w:p w:rsidR="00AD457F" w:rsidRPr="00CF2FE5" w:rsidRDefault="00777D2D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630" w:type="dxa"/>
          </w:tcPr>
          <w:p w:rsidR="00AD457F" w:rsidRPr="00566705" w:rsidRDefault="00566705" w:rsidP="005667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Арсін (миш’яковий водень) </w:t>
            </w:r>
          </w:p>
        </w:tc>
        <w:tc>
          <w:tcPr>
            <w:tcW w:w="2658" w:type="dxa"/>
          </w:tcPr>
          <w:p w:rsidR="00AD457F" w:rsidRPr="00CF2FE5" w:rsidRDefault="00337F2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630" w:type="dxa"/>
          </w:tcPr>
          <w:p w:rsidR="00AD457F" w:rsidRPr="00C168D4" w:rsidRDefault="00C168D4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Фосфін (фосфористий водень)</w:t>
            </w:r>
          </w:p>
        </w:tc>
        <w:tc>
          <w:tcPr>
            <w:tcW w:w="2658" w:type="dxa"/>
          </w:tcPr>
          <w:p w:rsidR="00AD457F" w:rsidRPr="00CF2FE5" w:rsidRDefault="00337F2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630" w:type="dxa"/>
          </w:tcPr>
          <w:p w:rsidR="00AD457F" w:rsidRPr="00CF2FE5" w:rsidRDefault="00C168D4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Дихлорид сір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</w:p>
        </w:tc>
        <w:tc>
          <w:tcPr>
            <w:tcW w:w="2658" w:type="dxa"/>
          </w:tcPr>
          <w:p w:rsidR="00AD457F" w:rsidRPr="00CF2FE5" w:rsidRDefault="00337F2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6630" w:type="dxa"/>
          </w:tcPr>
          <w:p w:rsidR="00AD457F" w:rsidRPr="00C168D4" w:rsidRDefault="00C4521F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Триоксид сір</w:t>
            </w:r>
            <w:r w:rsidR="001A0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2658" w:type="dxa"/>
          </w:tcPr>
          <w:p w:rsidR="00AD457F" w:rsidRPr="00CF2FE5" w:rsidRDefault="00337F2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623F03" w:rsidRPr="00CF2FE5" w:rsidTr="00AD457F">
        <w:tc>
          <w:tcPr>
            <w:tcW w:w="566" w:type="dxa"/>
          </w:tcPr>
          <w:p w:rsidR="00AD457F" w:rsidRDefault="009B73DA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6630" w:type="dxa"/>
          </w:tcPr>
          <w:p w:rsidR="00AD457F" w:rsidRPr="00777B55" w:rsidRDefault="00F73BBD" w:rsidP="00EB0B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Поліхлоробензофурани та пол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хлоробензодіоксини (включно з</w:t>
            </w:r>
            <w:r w:rsidR="00B602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тетрахлордибензодиоксин (ТХДД)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розраховані 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еквіваленті ТХДД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58" w:type="dxa"/>
          </w:tcPr>
          <w:p w:rsidR="00AD457F" w:rsidRPr="00CF2FE5" w:rsidRDefault="004C5BAC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0,001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</w:t>
            </w:r>
          </w:p>
        </w:tc>
        <w:tc>
          <w:tcPr>
            <w:tcW w:w="6630" w:type="dxa"/>
          </w:tcPr>
          <w:p w:rsidR="00C31502" w:rsidRDefault="00C40CA4" w:rsidP="00AE7D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Наступні канцерогенні речовини і суміші, які містять </w:t>
            </w:r>
            <w:r w:rsidR="00AE7D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такі </w:t>
            </w:r>
            <w:r w:rsidR="00EB1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канцерогенні речовини </w:t>
            </w:r>
            <w:r w:rsidR="00B37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концентрації вище 5% ваги: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31502" w:rsidRPr="0088607D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Default="00E958C9" w:rsidP="009076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4-ам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нофен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 і/або його солі, бензилхлорид</w:t>
            </w:r>
            <w:r w:rsidR="00BD02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бензидин і/або його солі, біс (хло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BD02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метиловий) ефір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хлор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метиловий метилефір, 1,2-диброметан, ди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тилсульфат, диметилкарбамо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лхлорид, 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1,2-дибром-3-хлорпропан, 1,2-диметилг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дразин, диметилн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трозам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н, гексаметилфосфортрим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д, г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дразин, 2-нафталам</w:t>
            </w:r>
            <w:r w:rsid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 і/або солі, 4-нітрод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9D6A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ніл і 1,3-пропансульфон </w:t>
            </w:r>
            <w:r w:rsidR="00BD02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EB0B80" w:rsidTr="00AD457F">
        <w:tc>
          <w:tcPr>
            <w:tcW w:w="566" w:type="dxa"/>
          </w:tcPr>
          <w:p w:rsidR="00C31502" w:rsidRDefault="0051722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6630" w:type="dxa"/>
          </w:tcPr>
          <w:p w:rsidR="00C31502" w:rsidRDefault="00517225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Нафтопродукти та альтернативні види пального</w:t>
            </w:r>
          </w:p>
        </w:tc>
        <w:tc>
          <w:tcPr>
            <w:tcW w:w="2658" w:type="dxa"/>
          </w:tcPr>
          <w:p w:rsidR="00C31502" w:rsidRDefault="00517225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25 000</w:t>
            </w:r>
          </w:p>
        </w:tc>
      </w:tr>
      <w:tr w:rsidR="00C31502" w:rsidRPr="00EB0B80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Pr="006D36CF" w:rsidRDefault="006D36CF" w:rsidP="006D36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36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газоліни та нафта;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CF2FE5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Pr="006D36CF" w:rsidRDefault="006D36CF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B0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гас</w:t>
            </w:r>
            <w:r w:rsidR="00303A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(включаючи пальне для реактивних двигунів)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CF2FE5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Pr="00303AC5" w:rsidRDefault="006D36CF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3AC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303A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газойли (включаючи дизельне пальне, </w:t>
            </w:r>
            <w:r w:rsidR="00EC7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пальне комунально-побутового призначення і змішані газойли);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CF2FE5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Pr="00EC7D1D" w:rsidRDefault="006D36CF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d)</w:t>
            </w:r>
            <w:r w:rsidR="00EC7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важкі види пального;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88607D" w:rsidTr="00AD457F">
        <w:tc>
          <w:tcPr>
            <w:tcW w:w="566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30" w:type="dxa"/>
          </w:tcPr>
          <w:p w:rsidR="00C31502" w:rsidRPr="007F1388" w:rsidRDefault="006D36CF" w:rsidP="00BE47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F13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EC7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F13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альтернативні види 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</w:t>
            </w:r>
            <w:r w:rsidR="00BE4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</w:t>
            </w:r>
            <w:r w:rsidR="007F13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які використовуються для тих же цілей та мають аналогічні властивості з точки зору горючості та екологічної небезпеки, що і продукти, вказані у пунктах </w:t>
            </w:r>
            <w:r w:rsidR="007F13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7F1388" w:rsidRPr="007F13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)-</w:t>
            </w:r>
            <w:r w:rsidR="007F13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7F1388" w:rsidRPr="007F13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658" w:type="dxa"/>
          </w:tcPr>
          <w:p w:rsidR="00C31502" w:rsidRDefault="00C31502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502" w:rsidRPr="00CF2FE5" w:rsidTr="00AD457F">
        <w:tc>
          <w:tcPr>
            <w:tcW w:w="566" w:type="dxa"/>
          </w:tcPr>
          <w:p w:rsidR="00C31502" w:rsidRDefault="007F138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6630" w:type="dxa"/>
          </w:tcPr>
          <w:p w:rsidR="00C31502" w:rsidRDefault="007F1388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Безводний аміак</w:t>
            </w:r>
          </w:p>
        </w:tc>
        <w:tc>
          <w:tcPr>
            <w:tcW w:w="2658" w:type="dxa"/>
          </w:tcPr>
          <w:p w:rsidR="00C31502" w:rsidRDefault="007F138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7F138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6630" w:type="dxa"/>
          </w:tcPr>
          <w:p w:rsidR="00C31502" w:rsidRDefault="00A3669E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</w:t>
            </w:r>
            <w:r w:rsidR="00A91D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фтористий бор</w:t>
            </w:r>
          </w:p>
        </w:tc>
        <w:tc>
          <w:tcPr>
            <w:tcW w:w="2658" w:type="dxa"/>
          </w:tcPr>
          <w:p w:rsidR="00C31502" w:rsidRDefault="00A91D49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A91D49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6630" w:type="dxa"/>
          </w:tcPr>
          <w:p w:rsidR="00C31502" w:rsidRDefault="00A73FF8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Сірчаний воден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2658" w:type="dxa"/>
          </w:tcPr>
          <w:p w:rsidR="00C31502" w:rsidRDefault="00A73FF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A73FF8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34. </w:t>
            </w:r>
          </w:p>
        </w:tc>
        <w:tc>
          <w:tcPr>
            <w:tcW w:w="6630" w:type="dxa"/>
          </w:tcPr>
          <w:p w:rsidR="00C31502" w:rsidRDefault="00FE3B3B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Піпер</w:t>
            </w:r>
            <w:r w:rsidR="009076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дин</w:t>
            </w:r>
          </w:p>
        </w:tc>
        <w:tc>
          <w:tcPr>
            <w:tcW w:w="2658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</w:t>
            </w:r>
          </w:p>
        </w:tc>
        <w:tc>
          <w:tcPr>
            <w:tcW w:w="6630" w:type="dxa"/>
          </w:tcPr>
          <w:p w:rsidR="00C31502" w:rsidRDefault="003D0F8B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Біс (2-диметиламино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етил) (метил) амі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2658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</w:t>
            </w:r>
          </w:p>
        </w:tc>
        <w:tc>
          <w:tcPr>
            <w:tcW w:w="6630" w:type="dxa"/>
          </w:tcPr>
          <w:p w:rsidR="00C31502" w:rsidRDefault="003D0F8B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3-(2-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тилогесилокс) пропіламін </w:t>
            </w:r>
          </w:p>
        </w:tc>
        <w:tc>
          <w:tcPr>
            <w:tcW w:w="2658" w:type="dxa"/>
          </w:tcPr>
          <w:p w:rsidR="00C31502" w:rsidRDefault="003D0F8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</w:t>
            </w:r>
          </w:p>
        </w:tc>
        <w:tc>
          <w:tcPr>
            <w:tcW w:w="6630" w:type="dxa"/>
          </w:tcPr>
          <w:p w:rsidR="00C31502" w:rsidRPr="00310C73" w:rsidRDefault="008C1DD7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Суміші гідрохлорид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85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натрію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включені 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гостротоксичних </w:t>
            </w:r>
            <w:r w:rsidR="00310C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речовин у водному середовищі 1 (Н400), які містять менше 5% активного хлору і не включені ні в які інші класи небезпечних речовин в частині 1 додатк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310C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="00310C7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30</w:t>
            </w:r>
          </w:p>
        </w:tc>
        <w:tc>
          <w:tcPr>
            <w:tcW w:w="2658" w:type="dxa"/>
          </w:tcPr>
          <w:p w:rsidR="00C31502" w:rsidRDefault="00310C7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</w:t>
            </w:r>
          </w:p>
        </w:tc>
        <w:tc>
          <w:tcPr>
            <w:tcW w:w="6630" w:type="dxa"/>
          </w:tcPr>
          <w:p w:rsidR="00C31502" w:rsidRPr="00C444E2" w:rsidRDefault="00C444E2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Пропиламін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C31502" w:rsidRDefault="00310C73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</w:t>
            </w:r>
          </w:p>
        </w:tc>
        <w:tc>
          <w:tcPr>
            <w:tcW w:w="6630" w:type="dxa"/>
          </w:tcPr>
          <w:p w:rsidR="00C31502" w:rsidRPr="00C15264" w:rsidRDefault="00C15264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Трет-бутилакрилат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C31502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</w:t>
            </w:r>
          </w:p>
        </w:tc>
        <w:tc>
          <w:tcPr>
            <w:tcW w:w="6630" w:type="dxa"/>
          </w:tcPr>
          <w:p w:rsidR="00C31502" w:rsidRPr="00587E17" w:rsidRDefault="00D90532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2-метил-3-бутенн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трил</w:t>
            </w:r>
            <w:r w:rsidR="00587E17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C31502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</w:t>
            </w:r>
          </w:p>
        </w:tc>
        <w:tc>
          <w:tcPr>
            <w:tcW w:w="6630" w:type="dxa"/>
          </w:tcPr>
          <w:p w:rsidR="00C31502" w:rsidRPr="00587E17" w:rsidRDefault="00587E17" w:rsidP="00A3669E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Тетраг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дро-3,5-диметил-1,3,5-тиад</w:t>
            </w:r>
            <w:r w:rsidR="00A366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азин-2-тион (дазомет)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C31502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31502" w:rsidRPr="00CF2FE5" w:rsidTr="00AD457F">
        <w:tc>
          <w:tcPr>
            <w:tcW w:w="566" w:type="dxa"/>
          </w:tcPr>
          <w:p w:rsidR="00C31502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</w:p>
        </w:tc>
        <w:tc>
          <w:tcPr>
            <w:tcW w:w="6630" w:type="dxa"/>
          </w:tcPr>
          <w:p w:rsidR="00C31502" w:rsidRPr="000A3064" w:rsidRDefault="000A3064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Метилакрилат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C31502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2 000</w:t>
            </w:r>
          </w:p>
        </w:tc>
      </w:tr>
      <w:tr w:rsidR="00FE3B3B" w:rsidRPr="00CF2FE5" w:rsidTr="00AD457F">
        <w:tc>
          <w:tcPr>
            <w:tcW w:w="566" w:type="dxa"/>
          </w:tcPr>
          <w:p w:rsidR="00FE3B3B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</w:t>
            </w:r>
          </w:p>
        </w:tc>
        <w:tc>
          <w:tcPr>
            <w:tcW w:w="6630" w:type="dxa"/>
          </w:tcPr>
          <w:p w:rsidR="00FE3B3B" w:rsidRPr="0039495D" w:rsidRDefault="0039495D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3-метилпірідін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FE3B3B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2 000 </w:t>
            </w:r>
          </w:p>
        </w:tc>
      </w:tr>
      <w:tr w:rsidR="00FE3B3B" w:rsidRPr="00CF2FE5" w:rsidTr="00AD457F">
        <w:tc>
          <w:tcPr>
            <w:tcW w:w="566" w:type="dxa"/>
          </w:tcPr>
          <w:p w:rsidR="00FE3B3B" w:rsidRDefault="00FE3B3B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</w:t>
            </w:r>
          </w:p>
        </w:tc>
        <w:tc>
          <w:tcPr>
            <w:tcW w:w="6630" w:type="dxa"/>
          </w:tcPr>
          <w:p w:rsidR="00FE3B3B" w:rsidRPr="0039495D" w:rsidRDefault="0039495D" w:rsidP="00F73B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1-бром-3-хлорпропан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31</w:t>
            </w:r>
          </w:p>
        </w:tc>
        <w:tc>
          <w:tcPr>
            <w:tcW w:w="2658" w:type="dxa"/>
          </w:tcPr>
          <w:p w:rsidR="00FE3B3B" w:rsidRDefault="00FE10A0" w:rsidP="00FD1E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2 000</w:t>
            </w:r>
          </w:p>
        </w:tc>
      </w:tr>
    </w:tbl>
    <w:p w:rsidR="006E5FC4" w:rsidRDefault="00BA61B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Приміт</w:t>
      </w:r>
      <w:r w:rsidR="00AC5DD8" w:rsidRPr="009723B9">
        <w:rPr>
          <w:rFonts w:ascii="Times New Roman" w:hAnsi="Times New Roman" w:cs="Times New Roman"/>
          <w:i/>
          <w:sz w:val="28"/>
          <w:szCs w:val="28"/>
          <w:lang w:val="uk-UA"/>
        </w:rPr>
        <w:t>ки:</w:t>
      </w:r>
    </w:p>
    <w:p w:rsidR="007A43AC" w:rsidRPr="00A34DCA" w:rsidRDefault="007A43AC" w:rsidP="007A43AC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Критерії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згідно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із Узгодженою на глобальному рівні системою класифікації небезпеки та маркуванн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я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хімічної продукції ООН (СГС) (</w:t>
      </w:r>
      <w:r w:rsidRPr="00A34DCA">
        <w:rPr>
          <w:rFonts w:ascii="Times New Roman" w:hAnsi="Times New Roman" w:cs="Times New Roman"/>
          <w:sz w:val="24"/>
          <w:szCs w:val="28"/>
          <w:lang w:val="en-US"/>
        </w:rPr>
        <w:t>ST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/</w:t>
      </w:r>
      <w:r w:rsidRPr="00A34DCA"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/</w:t>
      </w:r>
      <w:r w:rsidRPr="00A34DCA">
        <w:rPr>
          <w:rFonts w:ascii="Times New Roman" w:hAnsi="Times New Roman" w:cs="Times New Roman"/>
          <w:sz w:val="24"/>
          <w:szCs w:val="28"/>
          <w:lang w:val="en-US"/>
        </w:rPr>
        <w:t>AC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/10/30/</w:t>
      </w:r>
      <w:r w:rsidRPr="00A34DCA">
        <w:rPr>
          <w:rFonts w:ascii="Times New Roman" w:hAnsi="Times New Roman" w:cs="Times New Roman"/>
          <w:sz w:val="24"/>
          <w:szCs w:val="28"/>
          <w:lang w:val="en-US"/>
        </w:rPr>
        <w:t>Rev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.4). При класифікації речовин або сумішей для цілей частини I цього додатка Сторонам слід використовувати нижченаведені критерії, якщо тільки в національному законодавстві не прийняті інші юридично обов'язкові критерії. Суміші розглядаються так само, як чисті речовини, за умови що вони залишаються в межах концентрацій, встановлених відповідно до їх властивост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ей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згідно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 xml:space="preserve">з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СГС, якщо немає вказівки на їх процентний склад або іншої конкретної вказівки.</w:t>
      </w:r>
    </w:p>
    <w:p w:rsidR="007A43AC" w:rsidRPr="00A34DCA" w:rsidRDefault="007A43AC" w:rsidP="007A43AC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Згідно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з критеріями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, вказаним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у главах 3.1.2 і 3.1.3 СГС.</w:t>
      </w:r>
    </w:p>
    <w:p w:rsidR="007A43AC" w:rsidRPr="00A34DCA" w:rsidRDefault="007A43AC" w:rsidP="007A43AC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3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Згідно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 xml:space="preserve"> з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критері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ями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, вказаним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у главах 3.1.2 і 3.1.3 СГС.</w:t>
      </w:r>
    </w:p>
    <w:p w:rsidR="007A43AC" w:rsidRPr="00A34DCA" w:rsidRDefault="007A43AC" w:rsidP="00EB60A5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4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Речовини, що відносяться до класу 3 небезпеки гострої пероральної токсичності, включаються в позицію 2 по</w:t>
      </w:r>
      <w:r w:rsidR="006B7C34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гостр</w:t>
      </w:r>
      <w:r w:rsidR="006B7C34" w:rsidRPr="00A34DCA">
        <w:rPr>
          <w:rFonts w:ascii="Times New Roman" w:hAnsi="Times New Roman" w:cs="Times New Roman"/>
          <w:sz w:val="24"/>
          <w:szCs w:val="28"/>
          <w:lang w:val="uk-UA"/>
        </w:rPr>
        <w:t>ій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токсичності речовини в тих випадках, коли не може бути проведена ні класифікація гострої</w:t>
      </w:r>
      <w:r w:rsidR="00C559C6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токсичності при інгаляційному впливі, ні класифікація гострої токсичності при дермальном</w:t>
      </w:r>
      <w:r w:rsidR="00BE479F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C559C6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впливі, наприклад через нестачу переконливих даних про токсичність при такому впливі.</w:t>
      </w:r>
    </w:p>
    <w:p w:rsidR="007A43AC" w:rsidRPr="00A34DCA" w:rsidRDefault="00C559C6" w:rsidP="00EB60A5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5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Речовини, які викликають значну токсичність у людей або щодо яких на підставі даних досліджень на піддослідних тварин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ах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можна вважати, що вони потенційно можуть викликати значну токсичність у людей після одноразового впливу. </w:t>
      </w:r>
      <w:r w:rsidR="00DA632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Докладніші вказівки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наведен</w:t>
      </w:r>
      <w:r w:rsidR="00DA632C" w:rsidRPr="00A34DCA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на рис. 3.8.1 і в таблиці 3.8.1 частини 3 СГС.</w:t>
      </w:r>
    </w:p>
    <w:p w:rsidR="007A43AC" w:rsidRPr="00A34DCA" w:rsidRDefault="002920AA" w:rsidP="00EB60A5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6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Випробування вибухових властивостей речовин і сумішей є необхідним тільки в тих випадках, коли за підсумками процедури попередньої перевірки відповідно до частини 6 додатка 3 до Керівництв</w:t>
      </w:r>
      <w:r w:rsidR="00BB0FD1" w:rsidRPr="00A34DCA"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BB0FD1" w:rsidRPr="00A34DCA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з випробовувань </w:t>
      </w:r>
      <w:r w:rsidR="00BB0FD1" w:rsidRPr="00A34DCA">
        <w:rPr>
          <w:rFonts w:ascii="Times New Roman" w:hAnsi="Times New Roman" w:cs="Times New Roman"/>
          <w:sz w:val="24"/>
          <w:szCs w:val="28"/>
          <w:lang w:val="uk-UA"/>
        </w:rPr>
        <w:t>та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критеріїв встановлено, що речовина або суміш потенційно володіє вибуховими властивостями.</w:t>
      </w:r>
    </w:p>
    <w:p w:rsidR="007A43AC" w:rsidRPr="00A34DCA" w:rsidRDefault="00BB0FD1" w:rsidP="00EB60A5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7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Клас небезпеки "Вибухові" включає вибухові вироби. Якщо кількість вибухової речовини або суміші, що міст</w:t>
      </w:r>
      <w:r w:rsidR="005037C0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ться у виробі, </w:t>
      </w:r>
      <w:r w:rsidR="000F6BF4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відом</w:t>
      </w:r>
      <w:r w:rsidR="000F6BF4" w:rsidRPr="00A34DCA"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, то для цілей цієї Конвенції враховується ця кількість. Якщо кількість вибухової речовини або суміші, що міст</w:t>
      </w:r>
      <w:r w:rsidR="005037C0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ться у виробі, невідом</w:t>
      </w:r>
      <w:r w:rsidR="000F6BF4" w:rsidRPr="00A34DCA"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, то для цілей цієї Конвенції як вибухова розглядається весь виріб.</w:t>
      </w:r>
    </w:p>
    <w:p w:rsidR="007A43AC" w:rsidRPr="00A34DCA" w:rsidRDefault="000F6BF4" w:rsidP="00EB60A5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8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Коли вибухові речовини підкласу 1.4 не упаковані або перепаковані, вони включаю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ться в позицію 4 (</w:t>
      </w:r>
      <w:r w:rsidR="00EB60A5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"Вибухові"),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якщо тільки небезпека не об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мовл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ю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ється як </w:t>
      </w:r>
      <w:r w:rsidR="005037C0">
        <w:rPr>
          <w:rFonts w:ascii="Times New Roman" w:hAnsi="Times New Roman" w:cs="Times New Roman"/>
          <w:sz w:val="24"/>
          <w:szCs w:val="28"/>
          <w:lang w:val="uk-UA"/>
        </w:rPr>
        <w:t>така, що раніше віднесена до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підкласу 1.4 відповідно до </w:t>
      </w:r>
      <w:r w:rsidR="00EB60A5"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EB60A5" w:rsidP="007A43AC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9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критеріїв, наведених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главі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2.2.2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СГС.</w:t>
      </w:r>
    </w:p>
    <w:p w:rsidR="007A43AC" w:rsidRPr="00A34DCA" w:rsidRDefault="003A6058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10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Аерозолі класифікуються згідно з критеріями, наведеними в розділі 2.3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і Керівництві з випробовувань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та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критеріїв, частин</w:t>
      </w:r>
      <w:r w:rsidR="00271C89" w:rsidRPr="00A34DCA"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III, розділ 31, на які там робиться посилання.</w:t>
      </w:r>
    </w:p>
    <w:p w:rsidR="007A43AC" w:rsidRPr="00A34DCA" w:rsidRDefault="00271C89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11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Для використання цієї позиції потрібно документальне підтвердження того, що в дозаторі аерозолю не міститься ні </w:t>
      </w:r>
      <w:r w:rsidR="00BC2508" w:rsidRPr="00A34DCA">
        <w:rPr>
          <w:rFonts w:ascii="Times New Roman" w:hAnsi="Times New Roman" w:cs="Times New Roman"/>
          <w:sz w:val="24"/>
          <w:szCs w:val="28"/>
          <w:lang w:val="uk-UA"/>
        </w:rPr>
        <w:t>займистого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га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у класу 1 або 2, ні займисто</w:t>
      </w:r>
      <w:r w:rsidR="00BC2508" w:rsidRPr="00A34DCA">
        <w:rPr>
          <w:rFonts w:ascii="Times New Roman" w:hAnsi="Times New Roman" w:cs="Times New Roman"/>
          <w:sz w:val="24"/>
          <w:szCs w:val="28"/>
          <w:lang w:val="uk-UA"/>
        </w:rPr>
        <w:t>ї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рідини класу 1.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</w:rPr>
        <w:t>12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Відповідно до критеріїв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, наведени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х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розділі 2.4.2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</w:rPr>
        <w:t>13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критеріїв, наведених в розділі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2.6.2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14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Рідини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з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температурою спалаху більше 35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° С для деяких цілей регулювання (наприклад, на транспорті) можуть розглядатися як незаймисті рідини в разі отримання негативних результатів при проведенні випробування </w:t>
      </w:r>
      <w:r w:rsidRPr="00A34DCA">
        <w:rPr>
          <w:rFonts w:ascii="Times New Roman" w:hAnsi="Times New Roman" w:cs="Times New Roman"/>
          <w:sz w:val="24"/>
          <w:szCs w:val="28"/>
          <w:lang w:val="en-US"/>
        </w:rPr>
        <w:t>L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.2 на стійкість горіння, передбаченого в частині III розділу 32 Керівництва з випробовувань і критеріїв. Однак це положення втрачає свою силу в умовах підвищених параметрів, наприклад при підвищенні температури або тиску, і тоді дані рідини включаються в цю позицію.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15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критеріїв, наведених в розділі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2.6.2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16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критеріїв, наведених в розділі 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2.6.2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17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Відповідно до критеріїв, наведених в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розділах 2.8.2 і 2.15.2.2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18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Відповідно до критеріїв, наведених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розділах 2.8.2 і 2.15.2.2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19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Відповідно до критеріїв, наведених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розділі 4.1.2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20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Відповідно до критеріїв, наведених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розділі 4.1.2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5F0013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21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критеріїв, наведених в розділі 2.12.2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СГС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5F0013" w:rsidP="000F697B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22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Нітрат амонію (10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000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): добрива, здатні до самопідтриму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ючого розкладання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7A43AC" w:rsidRPr="00A34DCA" w:rsidRDefault="00E85C15" w:rsidP="000F697B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 цієї категорії належа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ть складні / складові добрива на основі нітрату амонію (скл</w:t>
      </w:r>
      <w:r w:rsidR="00A34DCA">
        <w:rPr>
          <w:rFonts w:ascii="Times New Roman" w:hAnsi="Times New Roman" w:cs="Times New Roman"/>
          <w:sz w:val="24"/>
          <w:szCs w:val="28"/>
          <w:lang w:val="uk-UA"/>
        </w:rPr>
        <w:t>адні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/ складові добрива, що містять нітрат амонію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разом з фосфатом та/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або вуглекислим калієм),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які здатні до самопідтримуючого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розкладанн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>я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згідно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із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випробуванн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>ям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з використанням лотка (див. Керівництво з випробовувань і критеріїв, частина III, підрозділ 38.2) і в яких вміст азоту за рахунок присутності нітрату амонію становить:</w:t>
      </w:r>
    </w:p>
    <w:p w:rsidR="007A43AC" w:rsidRPr="00A34DCA" w:rsidRDefault="007A43AC" w:rsidP="000F697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a) від 15,75% до 24,5% за вагою (показники вмісту азоту в 15,75% і 24,5% за вагою як результату присутності нітрату амонію відповідають показникам вмісту останнього 45% і 70%), а також які або</w:t>
      </w:r>
      <w:r w:rsidR="000F697B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містять не більше 0,4% горючих/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органічних матеріалів, або відповідають вимогам відповідного випробування на опірність детонації (наприклад, випробування з використанням 4-дюймової сталевої труби);</w:t>
      </w:r>
    </w:p>
    <w:p w:rsidR="007A43AC" w:rsidRPr="00A34DCA" w:rsidRDefault="007A43AC" w:rsidP="000F697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b) не більше 15,75% за вагою і необмежену кількість горючих матеріалів.</w:t>
      </w:r>
    </w:p>
    <w:p w:rsidR="007A43AC" w:rsidRPr="00A34DCA" w:rsidRDefault="000F697B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23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Нітрат амонію (5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000</w:t>
      </w:r>
      <w:r w:rsidR="007A43AC" w:rsidRPr="00A34DCA">
        <w:rPr>
          <w:rFonts w:ascii="Times New Roman" w:hAnsi="Times New Roman" w:cs="Times New Roman"/>
          <w:sz w:val="24"/>
          <w:szCs w:val="28"/>
          <w:lang w:val="uk-UA"/>
        </w:rPr>
        <w:t>): сорти, призначені для використання в добривах.</w:t>
      </w:r>
    </w:p>
    <w:p w:rsidR="00BA61B9" w:rsidRPr="00A34DCA" w:rsidRDefault="007A43AC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Тут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йдеться про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прості добрива на </w:t>
      </w:r>
      <w:r w:rsidR="003D0EEB" w:rsidRPr="00A34DCA">
        <w:rPr>
          <w:rFonts w:ascii="Times New Roman" w:hAnsi="Times New Roman" w:cs="Times New Roman"/>
          <w:sz w:val="24"/>
          <w:szCs w:val="28"/>
          <w:lang w:val="uk-UA"/>
        </w:rPr>
        <w:t>основі нітрату амонію і складні/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складові добрива на основі нітрату амонію, в яких вміст азоту за рахунок присутності нітрату амонію становить:</w:t>
      </w:r>
    </w:p>
    <w:p w:rsidR="00E54210" w:rsidRPr="00A34DCA" w:rsidRDefault="00004BC3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en-US"/>
        </w:rPr>
        <w:t>a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) більше 24,5% за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вагою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, за винятком сумішей простих добрив на основі нітрату амонію з доломітом, </w:t>
      </w:r>
      <w:r w:rsidR="00066187" w:rsidRPr="00A34DCA">
        <w:rPr>
          <w:rFonts w:ascii="Times New Roman" w:hAnsi="Times New Roman" w:cs="Times New Roman"/>
          <w:sz w:val="24"/>
          <w:szCs w:val="28"/>
          <w:lang w:val="uk-UA"/>
        </w:rPr>
        <w:t>вапном та/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>або карбонатом кальцію з чистотою не менше 90%;</w:t>
      </w:r>
    </w:p>
    <w:p w:rsidR="00E54210" w:rsidRPr="00A34DCA" w:rsidRDefault="00004BC3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en-US"/>
        </w:rPr>
        <w:t>b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) більше 15,75%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за вагою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для сумішей нітрату та сульфату амонію;</w:t>
      </w:r>
    </w:p>
    <w:p w:rsidR="00E54210" w:rsidRPr="00A34DCA" w:rsidRDefault="00004BC3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>)</w:t>
      </w:r>
      <w:r w:rsidRPr="00A34DCA">
        <w:rPr>
          <w:rFonts w:ascii="Times New Roman" w:hAnsi="Times New Roman" w:cs="Times New Roman"/>
          <w:sz w:val="24"/>
          <w:szCs w:val="28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&gt;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28% (показник вмісту азоту 28% за </w:t>
      </w:r>
      <w:r w:rsidR="007319D9" w:rsidRPr="00A34DCA">
        <w:rPr>
          <w:rFonts w:ascii="Times New Roman" w:hAnsi="Times New Roman" w:cs="Times New Roman"/>
          <w:sz w:val="24"/>
          <w:szCs w:val="28"/>
          <w:lang w:val="uk-UA"/>
        </w:rPr>
        <w:t>вагою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як результат присутності у споживанні простого </w:t>
      </w:r>
      <w:r w:rsidR="007319D9" w:rsidRPr="00A34DCA">
        <w:rPr>
          <w:rFonts w:ascii="Times New Roman" w:hAnsi="Times New Roman" w:cs="Times New Roman"/>
          <w:sz w:val="24"/>
          <w:szCs w:val="28"/>
          <w:lang w:val="uk-UA"/>
        </w:rPr>
        <w:t>нітрату ам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>оні</w:t>
      </w:r>
      <w:r w:rsidR="007319D9" w:rsidRPr="00A34DCA">
        <w:rPr>
          <w:rFonts w:ascii="Times New Roman" w:hAnsi="Times New Roman" w:cs="Times New Roman"/>
          <w:sz w:val="24"/>
          <w:szCs w:val="28"/>
          <w:lang w:val="uk-UA"/>
        </w:rPr>
        <w:t>ю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відповідає показнику вмісту останнього 80%) за вагою для сумішей сировини на основі нітрату </w:t>
      </w:r>
      <w:r w:rsidR="007319D9" w:rsidRPr="00A34DCA">
        <w:rPr>
          <w:rFonts w:ascii="Times New Roman" w:hAnsi="Times New Roman" w:cs="Times New Roman"/>
          <w:sz w:val="24"/>
          <w:szCs w:val="28"/>
          <w:lang w:val="uk-UA"/>
        </w:rPr>
        <w:t>амонію з доломітом, вапном та/</w:t>
      </w:r>
      <w:r w:rsidR="00E54210" w:rsidRPr="00A34DCA">
        <w:rPr>
          <w:rFonts w:ascii="Times New Roman" w:hAnsi="Times New Roman" w:cs="Times New Roman"/>
          <w:sz w:val="24"/>
          <w:szCs w:val="28"/>
          <w:lang w:val="uk-UA"/>
        </w:rPr>
        <w:t>або карбонатом кальцію з чистотою не менше 90%;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і які відповідають вимогам відповідного випробування на опірність детонації (наприклад, випробування з використанням 4-дюймової сталевої труби).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24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Нітрат амонію (2 500): технічний.</w:t>
      </w:r>
    </w:p>
    <w:p w:rsidR="00066187" w:rsidRPr="00A34DCA" w:rsidRDefault="00E85C15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 цієї категорії належать</w:t>
      </w:r>
      <w:r w:rsidR="00066187" w:rsidRPr="00A34DCA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a) нітрат амонію і суміші нітрату амонію, в яких вміст азоту за рахунок присутності нітрату амонію становить: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і) від 24,5% до 28% за вагою і в яких міститься не більше 0,4% горючих речовин;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іі) більш 28% за вагою і в яких міститься не більше 0,2% горючих речовин;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en-US"/>
        </w:rPr>
        <w:t>b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) водні розчини нітрату амонію, в яких концентрація нітрату амонію становить понад 80%</w:t>
      </w:r>
      <w:r w:rsidR="00A34D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за вагою.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25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Нітрат амонію (50): "некондиційний" матеріал і добрива, що не відповідають вимогам відповідного випробування на опірність детонації (наприклад, випробування з використанням 4-дюймової сталевої труби).</w:t>
      </w:r>
    </w:p>
    <w:p w:rsidR="00066187" w:rsidRPr="00A34DCA" w:rsidRDefault="00E85C15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 цієї категорії належа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ть</w:t>
      </w:r>
      <w:r w:rsidR="00066187" w:rsidRPr="00A34DCA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a) матеріали, 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вилучені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процесі виробництва, а також нітрат амонію і суміші нітрату амонію, прості добрива на основі нітрату амонію і складові/складні добрив</w:t>
      </w:r>
      <w:r w:rsidR="00F167A1">
        <w:rPr>
          <w:rFonts w:ascii="Times New Roman" w:hAnsi="Times New Roman" w:cs="Times New Roman"/>
          <w:sz w:val="24"/>
          <w:szCs w:val="28"/>
          <w:lang w:val="uk-UA"/>
        </w:rPr>
        <w:t>а на основі нітрату амонію, що зазначені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примітках 23 та 24, які повертаються або були повернуті кінцевим користувачем виробнику на тимчасове зберігання або на переробне підприємство для переробки, рециркуляції або обробки з метою безпечного використання, оскільки вони більш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е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не відповідають специфікаціям, наведеним в примітках 23 та 24;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b) добрива, що 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зазначаються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в примітці 22 а) і примітці 23, які не задовольняють вимогам відповідного випробування на опірність детонації (наприклад, випробування з використанням 4-дюймової сталевої труби).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26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Нітрат калію (10 000): складові добрива на основі нітрату калію (у прілірованному/гранульованому вигляді), які володіють тими ж властивостями, що і чистий нітрат калію.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27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Нітрат калію (5 000): складові добрива на основі нітрату калію (у кристалічному вигляді), які мають ті ж небезпечні властивості, що і чистий нітрат калію.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28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Збагачений біогаз: для цілей здійснення Конвенції збагачений біогаз може бути класифікований відповідно до позиції 14 в частині 2 додатка I в тих випадках, коли він був оброблений відповідно до застосовних стандартів для очищеного і збагаченого біогазу, що забезпечують якість, еквівалентну якості природного газу, в тому числі за змістом метану, і коли в ньому міститься максимум 1% кисню.</w:t>
      </w:r>
    </w:p>
    <w:p w:rsidR="00066187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29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Поліхлорд</w:t>
      </w:r>
      <w:r w:rsidR="001C3E75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бензофурани і поліхлорд</w:t>
      </w:r>
      <w:r w:rsidR="001C3E75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бензодіокс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ни.</w:t>
      </w:r>
    </w:p>
    <w:p w:rsidR="003D0EEB" w:rsidRPr="00A34DCA" w:rsidRDefault="00066187" w:rsidP="00066187">
      <w:pPr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lang w:val="uk-UA"/>
        </w:rPr>
        <w:t>Кількості пол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хлорд</w:t>
      </w:r>
      <w:r w:rsidR="001C3E75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бензофуранів і поліхлорд</w:t>
      </w:r>
      <w:r w:rsidR="001C3E75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бензодіокс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нів розраховуються з використанням таких коефіцієнтів еквівалентної токсичності діоксину і діокс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ноподібних з'єднань (К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Е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Т) для людей і ссавців, які були визначені Всесвітньою організацією охорони здоров'я (ВООЗ) і переглянуті в 2005 році:</w:t>
      </w:r>
    </w:p>
    <w:p w:rsidR="00066187" w:rsidRPr="00A34DCA" w:rsidRDefault="00066187">
      <w:pPr>
        <w:rPr>
          <w:rFonts w:ascii="Times New Roman" w:hAnsi="Times New Roman" w:cs="Times New Roman"/>
          <w:b/>
          <w:sz w:val="16"/>
          <w:szCs w:val="28"/>
          <w:lang w:val="uk-UA"/>
        </w:rPr>
      </w:pPr>
    </w:p>
    <w:p w:rsidR="00BA61B9" w:rsidRDefault="000661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187">
        <w:rPr>
          <w:rFonts w:ascii="Times New Roman" w:hAnsi="Times New Roman" w:cs="Times New Roman"/>
          <w:b/>
          <w:sz w:val="28"/>
          <w:szCs w:val="28"/>
          <w:lang w:val="uk-UA"/>
        </w:rPr>
        <w:t>КЄТ</w:t>
      </w:r>
      <w:r w:rsidR="00AF29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ВООЗ 2005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992"/>
        <w:gridCol w:w="3544"/>
        <w:gridCol w:w="1099"/>
      </w:tblGrid>
      <w:tr w:rsidR="00AF292A" w:rsidTr="00AF292A">
        <w:tc>
          <w:tcPr>
            <w:tcW w:w="4219" w:type="dxa"/>
          </w:tcPr>
          <w:p w:rsidR="00AF292A" w:rsidRDefault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Діоксини</w:t>
            </w:r>
          </w:p>
        </w:tc>
        <w:tc>
          <w:tcPr>
            <w:tcW w:w="992" w:type="dxa"/>
          </w:tcPr>
          <w:p w:rsidR="00AF292A" w:rsidRDefault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КЄТ</w:t>
            </w:r>
          </w:p>
        </w:tc>
        <w:tc>
          <w:tcPr>
            <w:tcW w:w="3544" w:type="dxa"/>
          </w:tcPr>
          <w:p w:rsidR="00AF292A" w:rsidRDefault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Фурани</w:t>
            </w:r>
          </w:p>
        </w:tc>
        <w:tc>
          <w:tcPr>
            <w:tcW w:w="1099" w:type="dxa"/>
          </w:tcPr>
          <w:p w:rsidR="00AF292A" w:rsidRDefault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КЄТ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2,3,7,8-ТХДД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</w:tcPr>
          <w:p w:rsidR="008A3553" w:rsidRDefault="00D675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2,3,7,8-ТХДФ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1,2,3,7,8-ПеХДД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</w:tcPr>
          <w:p w:rsidR="008A3553" w:rsidRDefault="00D675A4" w:rsidP="00D675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2,3,4,7,8-ПеХДФ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0,3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1,2,3,4,7,8-ГеХДД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3544" w:type="dxa"/>
          </w:tcPr>
          <w:p w:rsidR="008A3553" w:rsidRDefault="00D675A4" w:rsidP="00D675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1,2,3,7,8-ПеХДФ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0,03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 w:rsidP="003A2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1,2,3,6,7,8-ГеХДД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3544" w:type="dxa"/>
          </w:tcPr>
          <w:p w:rsidR="008A3553" w:rsidRDefault="00D441D1" w:rsidP="00D441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1,2,3,4,7,8-ГеХДФ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1,2,3,7,8,9-ГеХДД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3544" w:type="dxa"/>
          </w:tcPr>
          <w:p w:rsidR="008A3553" w:rsidRDefault="00D441D1" w:rsidP="00D441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1,2,3,7,8,9-ГеХДФ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 w:rsidP="003A2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1,2,3,4,6,7,8-ГпХДД</w:t>
            </w:r>
          </w:p>
        </w:tc>
        <w:tc>
          <w:tcPr>
            <w:tcW w:w="992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0,01</w:t>
            </w:r>
          </w:p>
        </w:tc>
        <w:tc>
          <w:tcPr>
            <w:tcW w:w="3544" w:type="dxa"/>
          </w:tcPr>
          <w:p w:rsidR="008A3553" w:rsidRDefault="00D441D1" w:rsidP="00D441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2,3,4,6,7,8-ГеХДФ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ОХДД</w:t>
            </w:r>
          </w:p>
        </w:tc>
        <w:tc>
          <w:tcPr>
            <w:tcW w:w="992" w:type="dxa"/>
          </w:tcPr>
          <w:p w:rsidR="008A3553" w:rsidRDefault="008A3553" w:rsidP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0,0003</w:t>
            </w:r>
          </w:p>
        </w:tc>
        <w:tc>
          <w:tcPr>
            <w:tcW w:w="3544" w:type="dxa"/>
          </w:tcPr>
          <w:p w:rsidR="008A3553" w:rsidRDefault="00D441D1" w:rsidP="00D441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1,2,3,7,8,9-ГеХДФ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8A3553" w:rsidRDefault="008A3553" w:rsidP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8A3553" w:rsidRDefault="00D441D1" w:rsidP="00D441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1,2,3,4,6,7,8-ГпХДФ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8A3553" w:rsidRDefault="008A3553" w:rsidP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8A3553" w:rsidRDefault="00D27881" w:rsidP="00D278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1,2,3,4,7,8,9-ГпХДФ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0,01</w:t>
            </w:r>
          </w:p>
        </w:tc>
      </w:tr>
      <w:tr w:rsidR="008A3553" w:rsidTr="00AF292A">
        <w:tc>
          <w:tcPr>
            <w:tcW w:w="4219" w:type="dxa"/>
          </w:tcPr>
          <w:p w:rsidR="008A3553" w:rsidRDefault="008A35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8A3553" w:rsidRDefault="008A3553" w:rsidP="00AF2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8A3553" w:rsidRDefault="00D675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ОХДФ</w:t>
            </w:r>
          </w:p>
        </w:tc>
        <w:tc>
          <w:tcPr>
            <w:tcW w:w="1099" w:type="dxa"/>
          </w:tcPr>
          <w:p w:rsidR="008A3553" w:rsidRDefault="008A3553" w:rsidP="00FD1E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0,0003</w:t>
            </w:r>
          </w:p>
        </w:tc>
      </w:tr>
    </w:tbl>
    <w:p w:rsidR="009E2494" w:rsidRPr="009E2494" w:rsidRDefault="009E2494" w:rsidP="009E2494">
      <w:pPr>
        <w:contextualSpacing/>
        <w:rPr>
          <w:rFonts w:ascii="Times New Roman" w:hAnsi="Times New Roman" w:cs="Times New Roman"/>
          <w:sz w:val="4"/>
          <w:szCs w:val="28"/>
          <w:lang w:val="uk-UA"/>
        </w:rPr>
      </w:pPr>
    </w:p>
    <w:p w:rsidR="009E2494" w:rsidRPr="00A34DCA" w:rsidRDefault="009E2494" w:rsidP="009E2494">
      <w:pPr>
        <w:ind w:left="-142"/>
        <w:contextualSpacing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i/>
          <w:sz w:val="24"/>
          <w:szCs w:val="28"/>
          <w:lang w:val="uk-UA"/>
        </w:rPr>
        <w:t>Скорочення: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>Ге = гекса, Гп = гепта, О = окта, Пе = пента, Т = тетра.</w:t>
      </w:r>
    </w:p>
    <w:p w:rsidR="00AC5DD8" w:rsidRPr="0056490E" w:rsidRDefault="009E2494" w:rsidP="00661179">
      <w:pPr>
        <w:ind w:left="-142"/>
        <w:contextualSpacing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i/>
          <w:sz w:val="24"/>
          <w:szCs w:val="28"/>
          <w:lang w:val="uk-UA"/>
        </w:rPr>
        <w:t>Джерело:</w:t>
      </w:r>
      <w:r w:rsidR="00661179" w:rsidRPr="00A34DCA">
        <w:rPr>
          <w:rFonts w:ascii="Times New Roman" w:hAnsi="Times New Roman" w:cs="Times New Roman"/>
          <w:sz w:val="24"/>
          <w:szCs w:val="28"/>
          <w:lang w:val="en-US"/>
        </w:rPr>
        <w:t xml:space="preserve">Martin Van den Berg and others, “The 2005 World Health Organization Reevaluation of  Human and Mammalian Toxic Equivalency Factors for Dioxins and Dioxins-like Compounds”, </w:t>
      </w:r>
      <w:r w:rsidR="00661179" w:rsidRPr="00A34DCA">
        <w:rPr>
          <w:rFonts w:ascii="Times New Roman" w:hAnsi="Times New Roman" w:cs="Times New Roman"/>
          <w:i/>
          <w:sz w:val="24"/>
          <w:szCs w:val="28"/>
          <w:lang w:val="en-US"/>
        </w:rPr>
        <w:t>Toxicological Sciences</w:t>
      </w:r>
      <w:r w:rsidR="00661179" w:rsidRPr="00A34DCA">
        <w:rPr>
          <w:rFonts w:ascii="Times New Roman" w:hAnsi="Times New Roman" w:cs="Times New Roman"/>
          <w:sz w:val="24"/>
          <w:szCs w:val="28"/>
          <w:lang w:val="en-US"/>
        </w:rPr>
        <w:t>, vol. 93, No. 2 (October 2006),</w:t>
      </w:r>
      <w:r w:rsidR="00CB4E92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6490E">
        <w:rPr>
          <w:rFonts w:ascii="Times New Roman" w:hAnsi="Times New Roman" w:cs="Times New Roman"/>
          <w:sz w:val="24"/>
          <w:szCs w:val="28"/>
          <w:lang w:val="en-US"/>
        </w:rPr>
        <w:t>pp. 223-241</w:t>
      </w:r>
      <w:r w:rsidR="0056490E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661179" w:rsidRPr="00A34DCA" w:rsidRDefault="00661179" w:rsidP="00661179">
      <w:pPr>
        <w:ind w:left="-142"/>
        <w:contextualSpacing/>
        <w:rPr>
          <w:rFonts w:ascii="Times New Roman" w:hAnsi="Times New Roman" w:cs="Times New Roman"/>
          <w:sz w:val="40"/>
          <w:szCs w:val="28"/>
          <w:lang w:val="en-US"/>
        </w:rPr>
      </w:pPr>
    </w:p>
    <w:p w:rsidR="00661179" w:rsidRPr="00A34DCA" w:rsidRDefault="00C41EC0" w:rsidP="000617EF">
      <w:pPr>
        <w:ind w:left="-142"/>
        <w:contextualSpacing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</w:rPr>
        <w:t>30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За умови, що вказана суміш </w:t>
      </w:r>
      <w:r w:rsidR="00F478E9">
        <w:rPr>
          <w:rFonts w:ascii="Times New Roman" w:hAnsi="Times New Roman" w:cs="Times New Roman"/>
          <w:sz w:val="24"/>
          <w:szCs w:val="28"/>
          <w:lang w:val="uk-UA"/>
        </w:rPr>
        <w:t>у випадку</w:t>
      </w:r>
      <w:r w:rsidR="00E85C15">
        <w:rPr>
          <w:rFonts w:ascii="Times New Roman" w:hAnsi="Times New Roman" w:cs="Times New Roman"/>
          <w:sz w:val="24"/>
          <w:szCs w:val="28"/>
          <w:lang w:val="uk-UA"/>
        </w:rPr>
        <w:t xml:space="preserve"> відсутності гіпохлориту натрію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 не буде кл</w:t>
      </w:r>
      <w:r w:rsidR="00E85C15">
        <w:rPr>
          <w:rFonts w:ascii="Times New Roman" w:hAnsi="Times New Roman" w:cs="Times New Roman"/>
          <w:sz w:val="24"/>
          <w:szCs w:val="28"/>
          <w:lang w:val="uk-UA"/>
        </w:rPr>
        <w:t xml:space="preserve">асифікована, як гостротоксична </w:t>
      </w:r>
      <w:r w:rsidR="00FD1E12"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речовина </w:t>
      </w:r>
      <w:r w:rsidR="00F937A9" w:rsidRPr="00A34DCA">
        <w:rPr>
          <w:rFonts w:ascii="Times New Roman" w:hAnsi="Times New Roman" w:cs="Times New Roman"/>
          <w:sz w:val="24"/>
          <w:szCs w:val="28"/>
          <w:lang w:val="uk-UA"/>
        </w:rPr>
        <w:t>у водному середовищі, клас 1.</w:t>
      </w:r>
    </w:p>
    <w:p w:rsidR="00F937A9" w:rsidRPr="00A34DCA" w:rsidRDefault="00F937A9" w:rsidP="000617EF">
      <w:pPr>
        <w:ind w:left="-142"/>
        <w:contextualSpacing/>
        <w:rPr>
          <w:rFonts w:ascii="Times New Roman" w:hAnsi="Times New Roman" w:cs="Times New Roman"/>
          <w:sz w:val="24"/>
          <w:szCs w:val="28"/>
          <w:lang w:val="uk-UA"/>
        </w:rPr>
      </w:pPr>
      <w:r w:rsidRPr="00A34DCA">
        <w:rPr>
          <w:rFonts w:ascii="Times New Roman" w:hAnsi="Times New Roman" w:cs="Times New Roman"/>
          <w:sz w:val="24"/>
          <w:szCs w:val="28"/>
          <w:vertAlign w:val="superscript"/>
          <w:lang w:val="uk-UA"/>
        </w:rPr>
        <w:t>31</w:t>
      </w:r>
      <w:r w:rsidRPr="00A34DCA">
        <w:rPr>
          <w:rFonts w:ascii="Times New Roman" w:hAnsi="Times New Roman" w:cs="Times New Roman"/>
          <w:sz w:val="24"/>
          <w:szCs w:val="28"/>
          <w:lang w:val="uk-UA"/>
        </w:rPr>
        <w:t xml:space="preserve">У тих випадках, коли небезпечна речовина підпадає під категорію горючих рідин або горючих газів, для цілей Конвенції використовуються найменші порогові значення. </w:t>
      </w:r>
    </w:p>
    <w:sectPr w:rsidR="00F937A9" w:rsidRPr="00A34DCA" w:rsidSect="0088607D">
      <w:headerReference w:type="default" r:id="rId8"/>
      <w:pgSz w:w="11906" w:h="16838"/>
      <w:pgMar w:top="1134" w:right="567" w:bottom="1134" w:left="1701" w:header="567" w:footer="567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214" w:rsidRDefault="007E5214" w:rsidP="003C6428">
      <w:pPr>
        <w:spacing w:after="0" w:line="240" w:lineRule="auto"/>
      </w:pPr>
      <w:r>
        <w:separator/>
      </w:r>
    </w:p>
  </w:endnote>
  <w:endnote w:type="continuationSeparator" w:id="0">
    <w:p w:rsidR="007E5214" w:rsidRDefault="007E5214" w:rsidP="003C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214" w:rsidRDefault="007E5214" w:rsidP="003C6428">
      <w:pPr>
        <w:spacing w:after="0" w:line="240" w:lineRule="auto"/>
      </w:pPr>
      <w:r>
        <w:separator/>
      </w:r>
    </w:p>
  </w:footnote>
  <w:footnote w:type="continuationSeparator" w:id="0">
    <w:p w:rsidR="007E5214" w:rsidRDefault="007E5214" w:rsidP="003C6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2496693"/>
      <w:docPartObj>
        <w:docPartGallery w:val="Page Numbers (Top of Page)"/>
        <w:docPartUnique/>
      </w:docPartObj>
    </w:sdtPr>
    <w:sdtContent>
      <w:p w:rsidR="0088607D" w:rsidRDefault="0088607D">
        <w:pPr>
          <w:pStyle w:val="a4"/>
          <w:jc w:val="right"/>
        </w:pPr>
        <w:r w:rsidRPr="0088607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8607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8607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8607D">
          <w:rPr>
            <w:rFonts w:ascii="Times New Roman" w:hAnsi="Times New Roman" w:cs="Times New Roman"/>
            <w:noProof/>
            <w:sz w:val="20"/>
            <w:szCs w:val="20"/>
            <w:lang w:val="uk-UA"/>
          </w:rPr>
          <w:t>20</w:t>
        </w:r>
        <w:r w:rsidRPr="0088607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D1E12" w:rsidRDefault="00FD1E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959C7"/>
    <w:multiLevelType w:val="hybridMultilevel"/>
    <w:tmpl w:val="822063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9B"/>
    <w:rsid w:val="00004BC3"/>
    <w:rsid w:val="00031CAA"/>
    <w:rsid w:val="000617EF"/>
    <w:rsid w:val="00066187"/>
    <w:rsid w:val="00075BB5"/>
    <w:rsid w:val="0007706C"/>
    <w:rsid w:val="000A3064"/>
    <w:rsid w:val="000F5FFA"/>
    <w:rsid w:val="000F697B"/>
    <w:rsid w:val="000F6BF4"/>
    <w:rsid w:val="0013415F"/>
    <w:rsid w:val="0017669C"/>
    <w:rsid w:val="001A03AB"/>
    <w:rsid w:val="001C3E75"/>
    <w:rsid w:val="001E3B4A"/>
    <w:rsid w:val="0020310A"/>
    <w:rsid w:val="00271C89"/>
    <w:rsid w:val="0027772A"/>
    <w:rsid w:val="002920AA"/>
    <w:rsid w:val="002E64A4"/>
    <w:rsid w:val="002E7C66"/>
    <w:rsid w:val="0030397C"/>
    <w:rsid w:val="00303AC5"/>
    <w:rsid w:val="00310C73"/>
    <w:rsid w:val="00337F22"/>
    <w:rsid w:val="00340251"/>
    <w:rsid w:val="0039495D"/>
    <w:rsid w:val="003A2A57"/>
    <w:rsid w:val="003A6058"/>
    <w:rsid w:val="003C6428"/>
    <w:rsid w:val="003D0EEB"/>
    <w:rsid w:val="003D0F8B"/>
    <w:rsid w:val="003E5248"/>
    <w:rsid w:val="004043AE"/>
    <w:rsid w:val="00466ACD"/>
    <w:rsid w:val="004B2160"/>
    <w:rsid w:val="004B5DDC"/>
    <w:rsid w:val="004C5BAC"/>
    <w:rsid w:val="004F75F3"/>
    <w:rsid w:val="005037C0"/>
    <w:rsid w:val="00517225"/>
    <w:rsid w:val="0056490E"/>
    <w:rsid w:val="00566705"/>
    <w:rsid w:val="00587E17"/>
    <w:rsid w:val="005B6402"/>
    <w:rsid w:val="005E365F"/>
    <w:rsid w:val="005F0013"/>
    <w:rsid w:val="00604065"/>
    <w:rsid w:val="00606DFC"/>
    <w:rsid w:val="00623F03"/>
    <w:rsid w:val="00661179"/>
    <w:rsid w:val="00672BCF"/>
    <w:rsid w:val="006759DB"/>
    <w:rsid w:val="006853E2"/>
    <w:rsid w:val="00695D3C"/>
    <w:rsid w:val="006B7C34"/>
    <w:rsid w:val="006D36CF"/>
    <w:rsid w:val="006E0F45"/>
    <w:rsid w:val="006E5FC4"/>
    <w:rsid w:val="006F6C21"/>
    <w:rsid w:val="00731197"/>
    <w:rsid w:val="007319D9"/>
    <w:rsid w:val="00732F9A"/>
    <w:rsid w:val="00777B55"/>
    <w:rsid w:val="00777D2D"/>
    <w:rsid w:val="007A43AC"/>
    <w:rsid w:val="007E5214"/>
    <w:rsid w:val="007F1388"/>
    <w:rsid w:val="00824908"/>
    <w:rsid w:val="00854E98"/>
    <w:rsid w:val="0088607D"/>
    <w:rsid w:val="008A18F5"/>
    <w:rsid w:val="008A3553"/>
    <w:rsid w:val="008C1DD7"/>
    <w:rsid w:val="008F16F6"/>
    <w:rsid w:val="008F17B9"/>
    <w:rsid w:val="00907651"/>
    <w:rsid w:val="00925804"/>
    <w:rsid w:val="009541F1"/>
    <w:rsid w:val="009723B9"/>
    <w:rsid w:val="00995D9B"/>
    <w:rsid w:val="009A049F"/>
    <w:rsid w:val="009A443C"/>
    <w:rsid w:val="009B25DB"/>
    <w:rsid w:val="009B73DA"/>
    <w:rsid w:val="009D6A67"/>
    <w:rsid w:val="009E2494"/>
    <w:rsid w:val="009F3D9F"/>
    <w:rsid w:val="00A10A20"/>
    <w:rsid w:val="00A34DCA"/>
    <w:rsid w:val="00A3669E"/>
    <w:rsid w:val="00A40867"/>
    <w:rsid w:val="00A57B3F"/>
    <w:rsid w:val="00A73FF8"/>
    <w:rsid w:val="00A80A3F"/>
    <w:rsid w:val="00A91D49"/>
    <w:rsid w:val="00AB7978"/>
    <w:rsid w:val="00AC5DD8"/>
    <w:rsid w:val="00AD457F"/>
    <w:rsid w:val="00AD5A88"/>
    <w:rsid w:val="00AE7D34"/>
    <w:rsid w:val="00AF292A"/>
    <w:rsid w:val="00B01545"/>
    <w:rsid w:val="00B16150"/>
    <w:rsid w:val="00B3788C"/>
    <w:rsid w:val="00B46614"/>
    <w:rsid w:val="00B602F3"/>
    <w:rsid w:val="00BA61B9"/>
    <w:rsid w:val="00BB01EC"/>
    <w:rsid w:val="00BB0FD1"/>
    <w:rsid w:val="00BC2508"/>
    <w:rsid w:val="00BC4B9B"/>
    <w:rsid w:val="00BD0269"/>
    <w:rsid w:val="00BD621F"/>
    <w:rsid w:val="00BE479F"/>
    <w:rsid w:val="00BF113D"/>
    <w:rsid w:val="00C15264"/>
    <w:rsid w:val="00C168D4"/>
    <w:rsid w:val="00C31502"/>
    <w:rsid w:val="00C40CA4"/>
    <w:rsid w:val="00C41EC0"/>
    <w:rsid w:val="00C444E2"/>
    <w:rsid w:val="00C4521F"/>
    <w:rsid w:val="00C559C6"/>
    <w:rsid w:val="00C7415A"/>
    <w:rsid w:val="00C91934"/>
    <w:rsid w:val="00CB4E92"/>
    <w:rsid w:val="00CD419B"/>
    <w:rsid w:val="00CD6723"/>
    <w:rsid w:val="00CD6B40"/>
    <w:rsid w:val="00CF2FE5"/>
    <w:rsid w:val="00D27881"/>
    <w:rsid w:val="00D441D1"/>
    <w:rsid w:val="00D675A4"/>
    <w:rsid w:val="00D90532"/>
    <w:rsid w:val="00DA632C"/>
    <w:rsid w:val="00DE1D5C"/>
    <w:rsid w:val="00E03549"/>
    <w:rsid w:val="00E34A7D"/>
    <w:rsid w:val="00E54210"/>
    <w:rsid w:val="00E85C15"/>
    <w:rsid w:val="00E958C9"/>
    <w:rsid w:val="00EB0B80"/>
    <w:rsid w:val="00EB14A8"/>
    <w:rsid w:val="00EB60A5"/>
    <w:rsid w:val="00EC7D1D"/>
    <w:rsid w:val="00F013F2"/>
    <w:rsid w:val="00F167A1"/>
    <w:rsid w:val="00F478E9"/>
    <w:rsid w:val="00F73BBD"/>
    <w:rsid w:val="00F937A9"/>
    <w:rsid w:val="00FD1E12"/>
    <w:rsid w:val="00FE0B7B"/>
    <w:rsid w:val="00FE10A0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D7FFD9C-80D9-401F-81DB-30B711A1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C6428"/>
  </w:style>
  <w:style w:type="paragraph" w:styleId="a6">
    <w:name w:val="footer"/>
    <w:basedOn w:val="a"/>
    <w:link w:val="a7"/>
    <w:uiPriority w:val="99"/>
    <w:unhideWhenUsed/>
    <w:rsid w:val="003C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C6428"/>
  </w:style>
  <w:style w:type="paragraph" w:styleId="a8">
    <w:name w:val="List Paragraph"/>
    <w:basedOn w:val="a"/>
    <w:uiPriority w:val="34"/>
    <w:qFormat/>
    <w:rsid w:val="006D36C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9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95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1238-0C02-4582-BC80-87B1AB46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7</Pages>
  <Words>10131</Words>
  <Characters>5776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Tymoshenko Dmytro</cp:lastModifiedBy>
  <cp:revision>165</cp:revision>
  <cp:lastPrinted>2021-11-12T10:30:00Z</cp:lastPrinted>
  <dcterms:created xsi:type="dcterms:W3CDTF">2018-07-24T06:14:00Z</dcterms:created>
  <dcterms:modified xsi:type="dcterms:W3CDTF">2021-11-12T10:32:00Z</dcterms:modified>
</cp:coreProperties>
</file>