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5C5" w:rsidRPr="003A35C5" w:rsidRDefault="003A35C5" w:rsidP="003A35C5">
      <w:pPr>
        <w:spacing w:after="0" w:line="240" w:lineRule="auto"/>
        <w:jc w:val="center"/>
        <w:rPr>
          <w:rFonts w:ascii="Times New Roman" w:hAnsi="Times New Roman"/>
          <w:b/>
          <w:sz w:val="28"/>
          <w:szCs w:val="28"/>
        </w:rPr>
      </w:pPr>
      <w:bookmarkStart w:id="0" w:name="_GoBack"/>
      <w:bookmarkEnd w:id="0"/>
      <w:r w:rsidRPr="003A35C5">
        <w:rPr>
          <w:rFonts w:ascii="Times New Roman" w:hAnsi="Times New Roman"/>
          <w:b/>
          <w:sz w:val="28"/>
          <w:szCs w:val="28"/>
        </w:rPr>
        <w:t>ПОРІВНЯЛЬНА ТАБЛИЦЯ</w:t>
      </w:r>
    </w:p>
    <w:p w:rsidR="003A35C5" w:rsidRPr="003A35C5" w:rsidRDefault="003A35C5" w:rsidP="003A35C5">
      <w:pPr>
        <w:shd w:val="clear" w:color="auto" w:fill="FFFFFF"/>
        <w:spacing w:after="0" w:line="240" w:lineRule="auto"/>
        <w:ind w:right="-1"/>
        <w:jc w:val="center"/>
        <w:rPr>
          <w:rFonts w:ascii="Times New Roman" w:hAnsi="Times New Roman"/>
          <w:b/>
          <w:bCs/>
          <w:sz w:val="28"/>
          <w:szCs w:val="28"/>
          <w:shd w:val="clear" w:color="auto" w:fill="FFFFFF"/>
        </w:rPr>
      </w:pPr>
      <w:r w:rsidRPr="003A35C5">
        <w:rPr>
          <w:rFonts w:ascii="Times New Roman" w:hAnsi="Times New Roman"/>
          <w:b/>
          <w:bCs/>
          <w:sz w:val="28"/>
          <w:szCs w:val="28"/>
          <w:shd w:val="clear" w:color="auto" w:fill="FFFFFF"/>
        </w:rPr>
        <w:t>до проєкту Закону України «</w:t>
      </w:r>
      <w:r w:rsidRPr="003A35C5">
        <w:rPr>
          <w:rFonts w:ascii="Times New Roman" w:hAnsi="Times New Roman"/>
          <w:b/>
          <w:sz w:val="28"/>
          <w:szCs w:val="28"/>
        </w:rPr>
        <w:t>Про Національний реєстр викидів та перенесення забруднювачів</w:t>
      </w:r>
      <w:r w:rsidRPr="003A35C5">
        <w:rPr>
          <w:rFonts w:ascii="Times New Roman" w:hAnsi="Times New Roman"/>
          <w:b/>
          <w:bCs/>
          <w:sz w:val="28"/>
          <w:szCs w:val="28"/>
          <w:shd w:val="clear" w:color="auto" w:fill="FFFFFF"/>
        </w:rPr>
        <w:t>»</w:t>
      </w:r>
    </w:p>
    <w:p w:rsidR="003A35C5" w:rsidRPr="003A35C5" w:rsidRDefault="003A35C5" w:rsidP="003A35C5">
      <w:pPr>
        <w:spacing w:after="0" w:line="240" w:lineRule="auto"/>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145"/>
        <w:gridCol w:w="7415"/>
      </w:tblGrid>
      <w:tr w:rsidR="003A35C5" w:rsidRPr="003A35C5" w:rsidTr="00F243FA">
        <w:tc>
          <w:tcPr>
            <w:tcW w:w="7145" w:type="dxa"/>
          </w:tcPr>
          <w:p w:rsidR="003A35C5" w:rsidRPr="003A35C5" w:rsidRDefault="003A35C5" w:rsidP="003A35C5">
            <w:pPr>
              <w:spacing w:before="120" w:after="160" w:line="259" w:lineRule="auto"/>
              <w:jc w:val="center"/>
              <w:rPr>
                <w:rFonts w:ascii="Times New Roman" w:hAnsi="Times New Roman"/>
                <w:sz w:val="28"/>
                <w:szCs w:val="28"/>
              </w:rPr>
            </w:pPr>
            <w:r w:rsidRPr="003A35C5">
              <w:rPr>
                <w:rFonts w:ascii="Times New Roman" w:hAnsi="Times New Roman"/>
                <w:sz w:val="28"/>
                <w:szCs w:val="28"/>
              </w:rPr>
              <w:t xml:space="preserve">Зміст положення акта законодавства </w:t>
            </w:r>
          </w:p>
        </w:tc>
        <w:tc>
          <w:tcPr>
            <w:tcW w:w="7415" w:type="dxa"/>
          </w:tcPr>
          <w:p w:rsidR="003A35C5" w:rsidRPr="003A35C5" w:rsidRDefault="003A35C5" w:rsidP="003A35C5">
            <w:pPr>
              <w:spacing w:before="120" w:after="160" w:line="259" w:lineRule="auto"/>
              <w:jc w:val="center"/>
              <w:rPr>
                <w:rFonts w:ascii="Times New Roman" w:hAnsi="Times New Roman"/>
                <w:sz w:val="28"/>
                <w:szCs w:val="28"/>
              </w:rPr>
            </w:pPr>
            <w:r w:rsidRPr="003A35C5">
              <w:rPr>
                <w:rFonts w:ascii="Times New Roman" w:hAnsi="Times New Roman"/>
                <w:sz w:val="28"/>
                <w:szCs w:val="28"/>
              </w:rPr>
              <w:t>Зміст відповідного положення проєкту акта</w:t>
            </w:r>
          </w:p>
        </w:tc>
      </w:tr>
      <w:tr w:rsidR="003A35C5" w:rsidRPr="003A35C5" w:rsidTr="00053E4D">
        <w:tc>
          <w:tcPr>
            <w:tcW w:w="14560" w:type="dxa"/>
            <w:gridSpan w:val="2"/>
          </w:tcPr>
          <w:p w:rsidR="003A35C5" w:rsidRPr="003A35C5" w:rsidRDefault="003A35C5" w:rsidP="003A35C5">
            <w:pPr>
              <w:spacing w:before="120" w:after="160" w:line="259" w:lineRule="auto"/>
              <w:ind w:left="1" w:hanging="3"/>
              <w:jc w:val="center"/>
              <w:rPr>
                <w:rFonts w:ascii="Times New Roman" w:hAnsi="Times New Roman"/>
                <w:b/>
                <w:sz w:val="28"/>
                <w:szCs w:val="28"/>
              </w:rPr>
            </w:pPr>
            <w:r w:rsidRPr="003A35C5">
              <w:rPr>
                <w:rFonts w:ascii="Times New Roman" w:hAnsi="Times New Roman"/>
                <w:b/>
                <w:sz w:val="28"/>
                <w:szCs w:val="28"/>
              </w:rPr>
              <w:t>Закон України «Про охорону навколишнього природного середовища»</w:t>
            </w:r>
          </w:p>
        </w:tc>
      </w:tr>
      <w:tr w:rsidR="003A35C5" w:rsidRPr="003A35C5" w:rsidTr="00F243FA">
        <w:tc>
          <w:tcPr>
            <w:tcW w:w="7145" w:type="dxa"/>
          </w:tcPr>
          <w:p w:rsidR="003A35C5" w:rsidRPr="003A35C5" w:rsidRDefault="003A35C5" w:rsidP="003A35C5">
            <w:pPr>
              <w:spacing w:after="160" w:line="259" w:lineRule="auto"/>
              <w:jc w:val="both"/>
              <w:rPr>
                <w:rFonts w:ascii="Times New Roman" w:hAnsi="Times New Roman"/>
                <w:sz w:val="28"/>
                <w:szCs w:val="28"/>
              </w:rPr>
            </w:pPr>
            <w:r w:rsidRPr="003A35C5">
              <w:rPr>
                <w:rFonts w:ascii="Times New Roman" w:hAnsi="Times New Roman"/>
                <w:sz w:val="28"/>
                <w:szCs w:val="28"/>
              </w:rPr>
              <w:t>Стаття 20-2. Компетенція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До компетенції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 належить:</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 w:name="n291"/>
            <w:bookmarkEnd w:id="1"/>
            <w:r w:rsidRPr="003A35C5">
              <w:rPr>
                <w:rFonts w:ascii="Times New Roman" w:hAnsi="Times New Roman"/>
                <w:sz w:val="28"/>
                <w:szCs w:val="28"/>
              </w:rPr>
              <w:t xml:space="preserve">а) організація і здійснення у межах компетенції державного нагляду (контролю) за додержанням центральними органами виконавчої влади та їх територіальними органами, місцевими органами виконавчої влади, органами місцевого самоврядування в частині здійснення делегованих їм повноважень органів </w:t>
            </w:r>
            <w:r w:rsidRPr="003A35C5">
              <w:rPr>
                <w:rFonts w:ascii="Times New Roman" w:hAnsi="Times New Roman"/>
                <w:sz w:val="28"/>
                <w:szCs w:val="28"/>
              </w:rPr>
              <w:lastRenderedPageBreak/>
              <w:t>виконавчої влади, підприємствами, установами та організаціями незалежно від форми власності та господарювання, громадянами України, іноземцями та особами без громадянства, а також юридичними особами - нерезидентами вимог законодавства:</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2" w:name="n292"/>
            <w:bookmarkEnd w:id="2"/>
            <w:r w:rsidRPr="003A35C5">
              <w:rPr>
                <w:rFonts w:ascii="Times New Roman" w:hAnsi="Times New Roman"/>
                <w:sz w:val="28"/>
                <w:szCs w:val="28"/>
              </w:rPr>
              <w:t>про екологічну та радіаційну безпеку, про оцінку впливу на довкілля, про моніторинг, звітність та верифікацію викидів парникових газів;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3" w:name="n779"/>
            <w:bookmarkStart w:id="4" w:name="n293"/>
            <w:bookmarkEnd w:id="3"/>
            <w:bookmarkEnd w:id="4"/>
            <w:r w:rsidRPr="003A35C5">
              <w:rPr>
                <w:rFonts w:ascii="Times New Roman" w:hAnsi="Times New Roman"/>
                <w:sz w:val="28"/>
                <w:szCs w:val="28"/>
              </w:rPr>
              <w:t>про використання та охорону земель;</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5" w:name="n294"/>
            <w:bookmarkEnd w:id="5"/>
            <w:r w:rsidRPr="003A35C5">
              <w:rPr>
                <w:rFonts w:ascii="Times New Roman" w:hAnsi="Times New Roman"/>
                <w:sz w:val="28"/>
                <w:szCs w:val="28"/>
              </w:rPr>
              <w:t>про охорону і раціональне використання вод та відтворення водних ресурсів;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6" w:name="n295"/>
            <w:bookmarkEnd w:id="6"/>
            <w:r w:rsidRPr="003A35C5">
              <w:rPr>
                <w:rFonts w:ascii="Times New Roman" w:hAnsi="Times New Roman"/>
                <w:sz w:val="28"/>
                <w:szCs w:val="28"/>
              </w:rPr>
              <w:t>про охорону атмосферного повітря;</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7" w:name="n296"/>
            <w:bookmarkEnd w:id="7"/>
            <w:r w:rsidRPr="003A35C5">
              <w:rPr>
                <w:rFonts w:ascii="Times New Roman" w:hAnsi="Times New Roman"/>
                <w:sz w:val="28"/>
                <w:szCs w:val="28"/>
              </w:rPr>
              <w:t>про охорону, захист, використання та відтворення лісів;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8" w:name="n297"/>
            <w:bookmarkEnd w:id="8"/>
            <w:r w:rsidRPr="003A35C5">
              <w:rPr>
                <w:rFonts w:ascii="Times New Roman" w:hAnsi="Times New Roman"/>
                <w:sz w:val="28"/>
                <w:szCs w:val="28"/>
              </w:rPr>
              <w:t>про охорону, утримання і використання зелених насаджень;</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9" w:name="n298"/>
            <w:bookmarkEnd w:id="9"/>
            <w:r w:rsidRPr="003A35C5">
              <w:rPr>
                <w:rFonts w:ascii="Times New Roman" w:hAnsi="Times New Roman"/>
                <w:sz w:val="28"/>
                <w:szCs w:val="28"/>
              </w:rPr>
              <w:t>про використання, охорону і відтворення рослинного світу;</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0" w:name="n299"/>
            <w:bookmarkEnd w:id="10"/>
            <w:r w:rsidRPr="003A35C5">
              <w:rPr>
                <w:rFonts w:ascii="Times New Roman" w:hAnsi="Times New Roman"/>
                <w:sz w:val="28"/>
                <w:szCs w:val="28"/>
              </w:rPr>
              <w:t>про охорону, раціональне використання та відтворення тваринного світу;</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1" w:name="n300"/>
            <w:bookmarkEnd w:id="11"/>
            <w:r w:rsidRPr="003A35C5">
              <w:rPr>
                <w:rFonts w:ascii="Times New Roman" w:hAnsi="Times New Roman"/>
                <w:sz w:val="28"/>
                <w:szCs w:val="28"/>
              </w:rPr>
              <w:t>щодо дотримання правил створення, поповнення, зберігання, використання та державного обліку зоологічних, ботанічних колекцій і торгівлі ними;</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2" w:name="n301"/>
            <w:bookmarkEnd w:id="12"/>
            <w:r w:rsidRPr="003A35C5">
              <w:rPr>
                <w:rFonts w:ascii="Times New Roman" w:hAnsi="Times New Roman"/>
                <w:sz w:val="28"/>
                <w:szCs w:val="28"/>
              </w:rPr>
              <w:lastRenderedPageBreak/>
              <w:t>під час ведення мисливського господарства та здійснення полювання;</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3" w:name="n302"/>
            <w:bookmarkEnd w:id="13"/>
            <w:r w:rsidRPr="003A35C5">
              <w:rPr>
                <w:rFonts w:ascii="Times New Roman" w:hAnsi="Times New Roman"/>
                <w:sz w:val="28"/>
                <w:szCs w:val="28"/>
              </w:rPr>
              <w:t>про збереження об'єктів рослинного та тваринного світу, занесених до Червоної та Зеленої книг України, формування, збереження і використання екологічної мережі;</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4" w:name="n303"/>
            <w:bookmarkEnd w:id="14"/>
            <w:r w:rsidRPr="003A35C5">
              <w:rPr>
                <w:rFonts w:ascii="Times New Roman" w:hAnsi="Times New Roman"/>
                <w:sz w:val="28"/>
                <w:szCs w:val="28"/>
              </w:rPr>
              <w:t>про природно-заповідний фонд;</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5" w:name="n304"/>
            <w:bookmarkEnd w:id="15"/>
            <w:r w:rsidRPr="003A35C5">
              <w:rPr>
                <w:rFonts w:ascii="Times New Roman" w:hAnsi="Times New Roman"/>
                <w:sz w:val="28"/>
                <w:szCs w:val="28"/>
              </w:rPr>
              <w:t>про охорону, використання і відтворення риби та інших водних живих ресурсів;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6" w:name="n305"/>
            <w:bookmarkEnd w:id="16"/>
            <w:r w:rsidRPr="003A35C5">
              <w:rPr>
                <w:rFonts w:ascii="Times New Roman" w:hAnsi="Times New Roman"/>
                <w:sz w:val="28"/>
                <w:szCs w:val="28"/>
              </w:rPr>
              <w:t>у сфері хімічних джерел струму в частині забезпечення екологічної безпеки виробництва хімічних джерел струму та утилізації відпрацьованих хімічних джерел струму, ведення обліку обсягів накопичення відпрацьованих хімічних джерел струму та передачі їх на утилізацію;</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7" w:name="n306"/>
            <w:bookmarkEnd w:id="17"/>
            <w:r w:rsidRPr="003A35C5">
              <w:rPr>
                <w:rFonts w:ascii="Times New Roman" w:hAnsi="Times New Roman"/>
                <w:sz w:val="28"/>
                <w:szCs w:val="28"/>
              </w:rPr>
              <w:t>щодо дотримання вимог реєстрації в суднових документах операцій із шкідливими речовинами та сумішами;</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8" w:name="n307"/>
            <w:bookmarkEnd w:id="18"/>
            <w:r w:rsidRPr="003A35C5">
              <w:rPr>
                <w:rFonts w:ascii="Times New Roman" w:hAnsi="Times New Roman"/>
                <w:sz w:val="28"/>
                <w:szCs w:val="28"/>
              </w:rPr>
              <w:t>про поводження з відходами;</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bookmarkStart w:id="19" w:name="n308"/>
            <w:bookmarkEnd w:id="19"/>
            <w:r w:rsidRPr="003A35C5">
              <w:rPr>
                <w:rFonts w:ascii="Times New Roman" w:hAnsi="Times New Roman"/>
                <w:sz w:val="28"/>
                <w:szCs w:val="28"/>
              </w:rPr>
              <w:t>щодо наявності дозволів, лімітів та квот на спеціальне використання природних ресурсів, дотримання їх умов;</w:t>
            </w:r>
          </w:p>
          <w:p w:rsidR="003A35C5" w:rsidRPr="003A35C5" w:rsidRDefault="003A35C5" w:rsidP="00F243FA">
            <w:pPr>
              <w:spacing w:before="120" w:after="160" w:line="259" w:lineRule="auto"/>
              <w:ind w:left="1" w:firstLine="425"/>
              <w:jc w:val="both"/>
              <w:rPr>
                <w:rFonts w:ascii="Times New Roman" w:hAnsi="Times New Roman"/>
                <w:sz w:val="28"/>
                <w:szCs w:val="28"/>
              </w:rPr>
            </w:pPr>
            <w:bookmarkStart w:id="20" w:name="n309"/>
            <w:bookmarkEnd w:id="20"/>
            <w:r w:rsidRPr="003A35C5">
              <w:rPr>
                <w:rFonts w:ascii="Times New Roman" w:hAnsi="Times New Roman"/>
                <w:sz w:val="28"/>
                <w:szCs w:val="28"/>
              </w:rPr>
              <w:t xml:space="preserve">про біологічну та генетичну безпеку щодо біологічних об'єктів природного середовища при створенні, дослідженні та практичному використанні генетично </w:t>
            </w:r>
            <w:r w:rsidRPr="003A35C5">
              <w:rPr>
                <w:rFonts w:ascii="Times New Roman" w:hAnsi="Times New Roman"/>
                <w:sz w:val="28"/>
                <w:szCs w:val="28"/>
              </w:rPr>
              <w:lastRenderedPageBreak/>
              <w:t>модифікованих організмів у відкритій системі;</w:t>
            </w:r>
          </w:p>
        </w:tc>
        <w:tc>
          <w:tcPr>
            <w:tcW w:w="741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lastRenderedPageBreak/>
              <w:t>Стаття 20-2. Компетенція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До компетенції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 належить:</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 xml:space="preserve">а) організація і здійснення у межах компетенції державного нагляду (контролю) за додержанням центральними органами виконавчої влади та їх територіальними органами, місцевими органами виконавчої влади, органами місцевого самоврядування в частині здійснення делегованих їм повноважень органів виконавчої влади, підприємствами, установами та організаціями </w:t>
            </w:r>
            <w:r w:rsidRPr="003A35C5">
              <w:rPr>
                <w:rFonts w:ascii="Times New Roman" w:hAnsi="Times New Roman"/>
                <w:sz w:val="28"/>
                <w:szCs w:val="28"/>
              </w:rPr>
              <w:lastRenderedPageBreak/>
              <w:t>незалежно від форми власності та господарювання, громадянами України, іноземцями та особами без громадянства, а також юридичними особами - нерезидентами вимог законодавства:</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екологічну та радіаційну безпеку, про оцінку впливу на довкілля, про моніторинг, звітність та верифікацію викидів парникових газів;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використання та охорону земель;</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охорону і раціональне використання вод та відтворення водних ресурсів;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охорону атмосферного повітря;</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охорону, захист, використання та відтворення лісів;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охорону, утримання і використання зелених насаджень;</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використання, охорону і відтворення рослинного світу;</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охорону, раціональне використання та відтворення тваринного світу;</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щодо дотримання правил створення, поповнення, зберігання, використання та державного обліку зоологічних, ботанічних колекцій і торгівлі ними;</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 xml:space="preserve">під час ведення мисливського господарства та </w:t>
            </w:r>
            <w:r w:rsidRPr="003A35C5">
              <w:rPr>
                <w:rFonts w:ascii="Times New Roman" w:hAnsi="Times New Roman"/>
                <w:sz w:val="28"/>
                <w:szCs w:val="28"/>
              </w:rPr>
              <w:lastRenderedPageBreak/>
              <w:t>здійснення полювання;</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збереження об'єктів рослинного та тваринного світу, занесених до Червоної та Зеленої книг України, формування, збереження і використання екологічної мережі;</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природно-заповідний фонд;</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охорону, використання і відтворення риби та інших водних живих ресурсів;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у сфері хімічних джерел струму в частині забезпечення екологічної безпеки виробництва хімічних джерел струму та утилізації відпрацьованих хімічних джерел струму, ведення обліку обсягів накопичення відпрацьованих хімічних джерел струму та передачі їх на утилізацію;</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щодо дотримання вимог реєстрації в суднових документах операцій із шкідливими речовинами та сумішами;</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поводження з відходами;</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щодо наявності дозволів, лімітів та квот на спеціальне використання природних ресурсів, дотримання їх умов;</w:t>
            </w:r>
          </w:p>
          <w:p w:rsidR="003A35C5" w:rsidRPr="003A35C5" w:rsidRDefault="003A35C5" w:rsidP="003A35C5">
            <w:pPr>
              <w:shd w:val="clear" w:color="auto" w:fill="FFFFFF"/>
              <w:spacing w:after="150" w:line="240" w:lineRule="auto"/>
              <w:ind w:firstLine="450"/>
              <w:jc w:val="both"/>
              <w:rPr>
                <w:rFonts w:ascii="Times New Roman" w:hAnsi="Times New Roman"/>
                <w:sz w:val="28"/>
                <w:szCs w:val="28"/>
              </w:rPr>
            </w:pPr>
            <w:r w:rsidRPr="003A35C5">
              <w:rPr>
                <w:rFonts w:ascii="Times New Roman" w:hAnsi="Times New Roman"/>
                <w:sz w:val="28"/>
                <w:szCs w:val="28"/>
              </w:rPr>
              <w:t>про біологічну та генетичну безпеку щодо біологічних об'єктів природного середовища при створенні, дослідженні та практичному використанні генетично модифікованих організмів у відкритій системі;</w:t>
            </w:r>
          </w:p>
          <w:p w:rsidR="003A35C5" w:rsidRPr="003A35C5" w:rsidRDefault="003A35C5" w:rsidP="003A35C5">
            <w:pPr>
              <w:spacing w:before="120" w:after="160" w:line="259" w:lineRule="auto"/>
              <w:ind w:left="1" w:hanging="3"/>
              <w:jc w:val="both"/>
              <w:rPr>
                <w:rFonts w:ascii="Times New Roman" w:hAnsi="Times New Roman"/>
                <w:sz w:val="28"/>
                <w:szCs w:val="28"/>
              </w:rPr>
            </w:pPr>
            <w:r w:rsidRPr="003A35C5">
              <w:rPr>
                <w:rFonts w:ascii="Times New Roman" w:eastAsia="Times New Roman" w:hAnsi="Times New Roman"/>
                <w:b/>
                <w:color w:val="000000"/>
                <w:sz w:val="28"/>
                <w:szCs w:val="28"/>
              </w:rPr>
              <w:t xml:space="preserve">у сфері реєстрації викидів та перенесення </w:t>
            </w:r>
            <w:r w:rsidRPr="003A35C5">
              <w:rPr>
                <w:rFonts w:ascii="Times New Roman" w:eastAsia="Times New Roman" w:hAnsi="Times New Roman"/>
                <w:b/>
                <w:color w:val="000000"/>
                <w:sz w:val="28"/>
                <w:szCs w:val="28"/>
              </w:rPr>
              <w:lastRenderedPageBreak/>
              <w:t>забруднювачів</w:t>
            </w:r>
            <w:r w:rsidRPr="003A35C5">
              <w:rPr>
                <w:rFonts w:ascii="Times New Roman" w:eastAsia="Times New Roman" w:hAnsi="Times New Roman"/>
                <w:color w:val="000000"/>
                <w:sz w:val="28"/>
                <w:szCs w:val="28"/>
              </w:rPr>
              <w:t>;</w:t>
            </w:r>
          </w:p>
        </w:tc>
      </w:tr>
      <w:tr w:rsidR="003A35C5" w:rsidRPr="003A35C5" w:rsidTr="00F243FA">
        <w:tc>
          <w:tcPr>
            <w:tcW w:w="714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lastRenderedPageBreak/>
              <w:t>Стаття 35. Державний контроль у сфері охорони навколишнього природного середовища</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Державний контроль у сфері охорони навколишнього природного середовища, раціонального використання, відтворення і охорони природних ресурсів здійснюється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Виконавчі органи сільських, селищних, міських рад здійснюють державний контроль у сфері охорони навколишнього природного середовища.</w:t>
            </w:r>
          </w:p>
          <w:p w:rsidR="003A35C5" w:rsidRPr="003A35C5" w:rsidRDefault="003A35C5" w:rsidP="003A35C5">
            <w:pPr>
              <w:spacing w:after="160" w:line="259" w:lineRule="auto"/>
              <w:ind w:left="1" w:hanging="3"/>
              <w:jc w:val="both"/>
              <w:rPr>
                <w:rFonts w:ascii="Times New Roman" w:hAnsi="Times New Roman"/>
                <w:sz w:val="28"/>
                <w:szCs w:val="28"/>
              </w:rPr>
            </w:pPr>
            <w:r w:rsidRPr="003A35C5">
              <w:rPr>
                <w:rFonts w:ascii="Times New Roman" w:hAnsi="Times New Roman"/>
                <w:sz w:val="28"/>
                <w:szCs w:val="28"/>
              </w:rPr>
              <w:t xml:space="preserve">Державному контролю підлягають використання і охорона земель, надр, поверхневих і підземних вод, атмосферного повітря, лісів та іншої рослинності, тваринного світу, морського середовища та природних ресурсів територіальних вод, континентального шельфу та виключної (морської) економічної зони України, природних територій та об'єктів, що підлягають особливій охороні, стан навколишнього природного середовища, а також дотримання заходів біологічної і генетичної безпеки щодо біологічних об'єктів навколишнього природного середовища при створенні, дослідженні та </w:t>
            </w:r>
            <w:r w:rsidRPr="003A35C5">
              <w:rPr>
                <w:rFonts w:ascii="Times New Roman" w:hAnsi="Times New Roman"/>
                <w:sz w:val="28"/>
                <w:szCs w:val="28"/>
              </w:rPr>
              <w:lastRenderedPageBreak/>
              <w:t>практичному використанні генетично модифікованих організмів у відкритій системі.</w:t>
            </w:r>
          </w:p>
        </w:tc>
        <w:tc>
          <w:tcPr>
            <w:tcW w:w="741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lastRenderedPageBreak/>
              <w:t>Стаття 35. Державний контроль у сфері охорони навколишнього природного середовища</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Державний контроль у сфері охорони навколишнього природного середовища, раціонального використання, відтворення і охорони природних ресурсів здійснюється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Виконавчі органи сільських, селищних, міських рад здійснюють державний контроль у сфері охорони навколишнього природного середовища.</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 xml:space="preserve">Державному контролю підлягають використання і охорона земель, надр, поверхневих і підземних вод, атмосферного повітря, лісів та іншої рослинності, тваринного світу, морського середовища та природних ресурсів територіальних вод, континентального шельфу та виключної (морської) економічної зони України, природних територій та об'єктів, що підлягають особливій охороні, стан навколишнього природного середовища, а також дотримання заходів біологічної і генетичної безпеки щодо біологічних об'єктів навколишнього природного середовища при створенні, дослідженні та практичному використанні </w:t>
            </w:r>
            <w:r w:rsidRPr="003A35C5">
              <w:rPr>
                <w:rFonts w:ascii="Times New Roman" w:hAnsi="Times New Roman"/>
                <w:sz w:val="28"/>
                <w:szCs w:val="28"/>
              </w:rPr>
              <w:lastRenderedPageBreak/>
              <w:t xml:space="preserve">генетично модифікованих організмів у відкритій системі </w:t>
            </w:r>
            <w:r w:rsidRPr="003A35C5">
              <w:rPr>
                <w:rFonts w:ascii="Times New Roman" w:hAnsi="Times New Roman"/>
                <w:b/>
                <w:bCs/>
                <w:sz w:val="28"/>
                <w:szCs w:val="28"/>
              </w:rPr>
              <w:t>та додержання операторами вимог законодавства у сфері реєстрації викидів та перенесення забруднювачів.</w:t>
            </w:r>
          </w:p>
        </w:tc>
      </w:tr>
      <w:tr w:rsidR="003A35C5" w:rsidRPr="003A35C5" w:rsidTr="00053E4D">
        <w:tc>
          <w:tcPr>
            <w:tcW w:w="14560" w:type="dxa"/>
            <w:gridSpan w:val="2"/>
          </w:tcPr>
          <w:p w:rsidR="003A35C5" w:rsidRPr="003A35C5" w:rsidRDefault="003A35C5" w:rsidP="003A35C5">
            <w:pPr>
              <w:spacing w:before="120" w:after="160" w:line="259" w:lineRule="auto"/>
              <w:ind w:firstLine="340"/>
              <w:jc w:val="center"/>
              <w:rPr>
                <w:rFonts w:ascii="Times New Roman" w:hAnsi="Times New Roman"/>
                <w:b/>
                <w:sz w:val="28"/>
                <w:szCs w:val="28"/>
              </w:rPr>
            </w:pPr>
            <w:r w:rsidRPr="003A35C5">
              <w:rPr>
                <w:rFonts w:ascii="Times New Roman" w:hAnsi="Times New Roman"/>
                <w:b/>
                <w:sz w:val="28"/>
                <w:szCs w:val="28"/>
              </w:rPr>
              <w:lastRenderedPageBreak/>
              <w:t>Господарський кодекс України</w:t>
            </w:r>
          </w:p>
        </w:tc>
      </w:tr>
      <w:tr w:rsidR="003A35C5" w:rsidRPr="003A35C5" w:rsidTr="00F243FA">
        <w:tc>
          <w:tcPr>
            <w:tcW w:w="714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Стаття 250. Строки застосування адміністративно-господарських санкцій</w:t>
            </w: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1. Адміністративно-господарські санкції можуть бути застосовані до суб'єкта господарювання протягом шести місяців з дня виявлення порушення, але не пізніш як через один рік з дня порушення цим суб'єктом встановлених законодавчими актами правил здійснення господарської діяльності, крім випадків, передбачених законом.</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2. Дія цієї статті не поширюється на штрафні санкції, розмір і порядок стягнення яких визначені Податковим кодексом України, законами України «Про валюту і валютні операції», «Про банки і банківську діяльність» та іншими законами, контроль за дотриманням яких покладено на податкові та митні органи.</w:t>
            </w:r>
          </w:p>
          <w:p w:rsidR="003A35C5" w:rsidRPr="003A35C5" w:rsidRDefault="003A35C5" w:rsidP="003A35C5">
            <w:pPr>
              <w:spacing w:before="120" w:after="160" w:line="259" w:lineRule="auto"/>
              <w:ind w:firstLine="340"/>
              <w:jc w:val="both"/>
              <w:rPr>
                <w:rFonts w:ascii="Times New Roman" w:hAnsi="Times New Roman"/>
                <w:sz w:val="28"/>
                <w:szCs w:val="28"/>
              </w:rPr>
            </w:pPr>
            <w:r w:rsidRPr="003A35C5">
              <w:rPr>
                <w:rFonts w:ascii="Times New Roman" w:hAnsi="Times New Roman"/>
                <w:sz w:val="28"/>
                <w:szCs w:val="28"/>
              </w:rPr>
              <w:t xml:space="preserve">3. Дія цієї статті не поширюється на адміністративно-господарські санкції, передбачені законами України «Про державний ринковий нагляд і контроль нехарчової </w:t>
            </w:r>
            <w:r w:rsidRPr="003A35C5">
              <w:rPr>
                <w:rFonts w:ascii="Times New Roman" w:hAnsi="Times New Roman"/>
                <w:sz w:val="28"/>
                <w:szCs w:val="28"/>
              </w:rPr>
              <w:lastRenderedPageBreak/>
              <w:t>продукції» та «Про загальну безпечність нехарчової продукції».</w:t>
            </w:r>
          </w:p>
        </w:tc>
        <w:tc>
          <w:tcPr>
            <w:tcW w:w="741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lastRenderedPageBreak/>
              <w:t>Стаття 250. Строки застосування адміністративно-господарських санкцій</w:t>
            </w: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1. Адміністративно-господарські санкції можуть бути застосовані до суб'єкта господарювання протягом шести місяців з дня виявлення порушення, але не пізніш як через один рік з дня порушення цим суб'єктом встановлених законодавчими актами правил здійснення господарської діяльності, крім випадків, передбачених законом.</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2. Дія цієї статті не поширюється на штрафні санкції, розмір і порядок стягнення яких визначені Податковим кодексом України, законами України «Про валюту і валютні операції», «Про банки і банківську діяльність» та іншими законами, контроль за дотриманням яких покладено на податкові та митні органи.</w:t>
            </w:r>
          </w:p>
          <w:p w:rsidR="003A35C5" w:rsidRPr="003A35C5" w:rsidRDefault="003A35C5" w:rsidP="003A35C5">
            <w:pPr>
              <w:spacing w:before="120" w:after="160" w:line="259" w:lineRule="auto"/>
              <w:ind w:firstLine="340"/>
              <w:jc w:val="both"/>
              <w:rPr>
                <w:rFonts w:ascii="Times New Roman" w:hAnsi="Times New Roman"/>
                <w:sz w:val="28"/>
                <w:szCs w:val="28"/>
              </w:rPr>
            </w:pPr>
            <w:r w:rsidRPr="003A35C5">
              <w:rPr>
                <w:rFonts w:ascii="Times New Roman" w:hAnsi="Times New Roman"/>
                <w:sz w:val="28"/>
                <w:szCs w:val="28"/>
              </w:rPr>
              <w:t xml:space="preserve">3. Дія цієї статті не поширюється на адміністративно-господарські санкції, передбачені законами України «Про державний ринковий нагляд і контроль нехарчової </w:t>
            </w:r>
            <w:r w:rsidRPr="003A35C5">
              <w:rPr>
                <w:rFonts w:ascii="Times New Roman" w:hAnsi="Times New Roman"/>
                <w:sz w:val="28"/>
                <w:szCs w:val="28"/>
              </w:rPr>
              <w:lastRenderedPageBreak/>
              <w:t xml:space="preserve">продукції», </w:t>
            </w:r>
            <w:r w:rsidRPr="003A35C5">
              <w:rPr>
                <w:rFonts w:ascii="Times New Roman" w:hAnsi="Times New Roman"/>
                <w:b/>
                <w:sz w:val="28"/>
                <w:szCs w:val="28"/>
              </w:rPr>
              <w:t>«Про Національний реєстр викидів та перенесення забруднювачів»</w:t>
            </w:r>
            <w:r w:rsidRPr="003A35C5">
              <w:rPr>
                <w:rFonts w:ascii="Times New Roman" w:hAnsi="Times New Roman"/>
                <w:sz w:val="28"/>
                <w:szCs w:val="28"/>
              </w:rPr>
              <w:t xml:space="preserve"> та «Про загальну безпечність нехарчової продукції».</w:t>
            </w:r>
          </w:p>
        </w:tc>
      </w:tr>
      <w:tr w:rsidR="003A35C5" w:rsidRPr="003A35C5" w:rsidTr="00053E4D">
        <w:tc>
          <w:tcPr>
            <w:tcW w:w="14560" w:type="dxa"/>
            <w:gridSpan w:val="2"/>
          </w:tcPr>
          <w:p w:rsidR="003A35C5" w:rsidRPr="003A35C5" w:rsidRDefault="003A35C5" w:rsidP="003A35C5">
            <w:pPr>
              <w:spacing w:before="120" w:after="160" w:line="259" w:lineRule="auto"/>
              <w:ind w:firstLine="340"/>
              <w:jc w:val="both"/>
              <w:rPr>
                <w:rFonts w:ascii="Times New Roman" w:hAnsi="Times New Roman"/>
                <w:b/>
                <w:sz w:val="28"/>
                <w:szCs w:val="28"/>
              </w:rPr>
            </w:pPr>
            <w:r w:rsidRPr="003A35C5">
              <w:rPr>
                <w:rFonts w:ascii="Times New Roman" w:hAnsi="Times New Roman"/>
                <w:b/>
                <w:sz w:val="28"/>
                <w:szCs w:val="28"/>
              </w:rPr>
              <w:lastRenderedPageBreak/>
              <w:t>Закон України «Про основні засади державного нагляду (контролю) у сфері господарської діяльності»</w:t>
            </w:r>
          </w:p>
        </w:tc>
      </w:tr>
      <w:tr w:rsidR="003A35C5" w:rsidRPr="003A35C5" w:rsidTr="00F243FA">
        <w:tc>
          <w:tcPr>
            <w:tcW w:w="714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Стаття 2. Сфера дії цього Закону</w:t>
            </w: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F243FA">
            <w:pPr>
              <w:spacing w:after="160" w:line="259" w:lineRule="auto"/>
              <w:ind w:left="340"/>
              <w:jc w:val="both"/>
              <w:rPr>
                <w:rFonts w:ascii="Times New Roman" w:hAnsi="Times New Roman"/>
                <w:sz w:val="28"/>
                <w:szCs w:val="28"/>
              </w:rPr>
            </w:pPr>
            <w:r w:rsidRPr="003A35C5">
              <w:rPr>
                <w:rFonts w:ascii="Times New Roman" w:hAnsi="Times New Roman"/>
                <w:sz w:val="28"/>
                <w:szCs w:val="28"/>
              </w:rPr>
              <w:t xml:space="preserve">. . . </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b/>
                <w:sz w:val="28"/>
                <w:szCs w:val="28"/>
              </w:rPr>
              <w:t>Частина відсутня</w:t>
            </w: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3A35C5">
            <w:pPr>
              <w:spacing w:after="160" w:line="259" w:lineRule="auto"/>
              <w:jc w:val="both"/>
              <w:rPr>
                <w:rFonts w:ascii="Times New Roman" w:hAnsi="Times New Roman"/>
                <w:sz w:val="28"/>
                <w:szCs w:val="28"/>
              </w:rPr>
            </w:pPr>
          </w:p>
        </w:tc>
        <w:tc>
          <w:tcPr>
            <w:tcW w:w="741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Стаття 2. Сфера дії цього Закону</w:t>
            </w: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F243FA">
            <w:pPr>
              <w:spacing w:after="160" w:line="259" w:lineRule="auto"/>
              <w:ind w:left="340"/>
              <w:jc w:val="both"/>
              <w:rPr>
                <w:rFonts w:ascii="Times New Roman" w:hAnsi="Times New Roman"/>
                <w:sz w:val="28"/>
                <w:szCs w:val="28"/>
              </w:rPr>
            </w:pPr>
            <w:r w:rsidRPr="003A35C5">
              <w:rPr>
                <w:rFonts w:ascii="Times New Roman" w:hAnsi="Times New Roman"/>
                <w:sz w:val="28"/>
                <w:szCs w:val="28"/>
              </w:rPr>
              <w:t xml:space="preserve">. . . </w:t>
            </w:r>
          </w:p>
          <w:p w:rsidR="003A35C5" w:rsidRPr="003A35C5" w:rsidRDefault="003A35C5" w:rsidP="003A35C5">
            <w:pPr>
              <w:spacing w:after="160" w:line="259" w:lineRule="auto"/>
              <w:ind w:firstLine="340"/>
              <w:jc w:val="both"/>
              <w:rPr>
                <w:rFonts w:ascii="Times New Roman" w:hAnsi="Times New Roman"/>
                <w:b/>
                <w:sz w:val="28"/>
                <w:szCs w:val="28"/>
              </w:rPr>
            </w:pPr>
            <w:r w:rsidRPr="003A35C5">
              <w:rPr>
                <w:rFonts w:ascii="Times New Roman" w:eastAsia="Times New Roman" w:hAnsi="Times New Roman"/>
                <w:b/>
                <w:color w:val="000000"/>
                <w:sz w:val="28"/>
                <w:szCs w:val="28"/>
              </w:rPr>
              <w:t>Контроль за додержанням законодавства у сфері реєстрації викидів та перенесення забруднювачів здійснюється в установленому цим Законом порядку з урахуванням особливостей, визначених Законом України «Про Національний</w:t>
            </w:r>
            <w:r w:rsidRPr="003A35C5">
              <w:rPr>
                <w:rFonts w:ascii="Times New Roman" w:eastAsia="Times New Roman" w:hAnsi="Times New Roman"/>
                <w:b/>
                <w:color w:val="00B0F0"/>
                <w:sz w:val="28"/>
                <w:szCs w:val="28"/>
              </w:rPr>
              <w:t xml:space="preserve"> </w:t>
            </w:r>
            <w:r w:rsidRPr="003A35C5">
              <w:rPr>
                <w:rFonts w:ascii="Times New Roman" w:eastAsia="Times New Roman" w:hAnsi="Times New Roman"/>
                <w:b/>
                <w:color w:val="000000"/>
                <w:sz w:val="28"/>
                <w:szCs w:val="28"/>
              </w:rPr>
              <w:t>реєстр викидів та перенесення забруднювачів»</w:t>
            </w:r>
          </w:p>
        </w:tc>
      </w:tr>
      <w:tr w:rsidR="003A35C5" w:rsidRPr="003A35C5" w:rsidTr="00053E4D">
        <w:tc>
          <w:tcPr>
            <w:tcW w:w="14560" w:type="dxa"/>
            <w:gridSpan w:val="2"/>
          </w:tcPr>
          <w:p w:rsidR="003A35C5" w:rsidRPr="003A35C5" w:rsidRDefault="003A35C5" w:rsidP="003A35C5">
            <w:pPr>
              <w:spacing w:before="120" w:after="160" w:line="259" w:lineRule="auto"/>
              <w:ind w:firstLine="340"/>
              <w:jc w:val="center"/>
              <w:rPr>
                <w:rFonts w:ascii="Times New Roman" w:hAnsi="Times New Roman"/>
                <w:b/>
                <w:sz w:val="28"/>
                <w:szCs w:val="28"/>
              </w:rPr>
            </w:pPr>
            <w:r w:rsidRPr="003A35C5">
              <w:rPr>
                <w:rFonts w:ascii="Times New Roman" w:hAnsi="Times New Roman"/>
                <w:b/>
                <w:sz w:val="28"/>
                <w:szCs w:val="28"/>
              </w:rPr>
              <w:t>Закон України «Про доступ до публічної інформації»</w:t>
            </w:r>
          </w:p>
        </w:tc>
      </w:tr>
      <w:tr w:rsidR="003A35C5" w:rsidRPr="003A35C5" w:rsidTr="00F243FA">
        <w:tc>
          <w:tcPr>
            <w:tcW w:w="714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Стаття 21. Плата за надання інформації</w:t>
            </w: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1. Інформація на запит надається безкоштовно.</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 xml:space="preserve">2.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w:t>
            </w:r>
            <w:r w:rsidRPr="003A35C5">
              <w:rPr>
                <w:rFonts w:ascii="Times New Roman" w:hAnsi="Times New Roman"/>
                <w:sz w:val="28"/>
                <w:szCs w:val="28"/>
              </w:rPr>
              <w:lastRenderedPageBreak/>
              <w:t>фактичні витрати на копіювання та друк.</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3. Розмір фактичних витрат визначається відповідним розпорядником на копіювання та друк в межах граничних норм, встановлених Кабінетом Міністрів України. У разі якщо розпорядник інформації не встановив розміру плати за копіювання або друк, інформація надається безкоштовно.</w:t>
            </w:r>
          </w:p>
          <w:p w:rsidR="003A35C5" w:rsidRPr="003A35C5" w:rsidRDefault="003A35C5" w:rsidP="003A35C5">
            <w:pPr>
              <w:spacing w:before="120" w:after="160" w:line="259" w:lineRule="auto"/>
              <w:ind w:firstLine="340"/>
              <w:jc w:val="both"/>
              <w:rPr>
                <w:rFonts w:ascii="Times New Roman" w:hAnsi="Times New Roman"/>
                <w:sz w:val="28"/>
                <w:szCs w:val="28"/>
              </w:rPr>
            </w:pPr>
            <w:r w:rsidRPr="003A35C5">
              <w:rPr>
                <w:rFonts w:ascii="Times New Roman" w:hAnsi="Times New Roman"/>
                <w:sz w:val="28"/>
                <w:szCs w:val="28"/>
              </w:rPr>
              <w:t>4. При наданні особі інформації про себе та інформації, що становить суспільний інтерес, плата за копіювання та друк не стягується.</w:t>
            </w:r>
          </w:p>
        </w:tc>
        <w:tc>
          <w:tcPr>
            <w:tcW w:w="7415" w:type="dxa"/>
          </w:tcPr>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lastRenderedPageBreak/>
              <w:t>Стаття 21. Плата за надання інформації</w:t>
            </w:r>
          </w:p>
          <w:p w:rsidR="003A35C5" w:rsidRPr="003A35C5" w:rsidRDefault="003A35C5" w:rsidP="003A35C5">
            <w:pPr>
              <w:spacing w:after="160" w:line="259" w:lineRule="auto"/>
              <w:ind w:firstLine="340"/>
              <w:jc w:val="both"/>
              <w:rPr>
                <w:rFonts w:ascii="Times New Roman" w:hAnsi="Times New Roman"/>
                <w:sz w:val="28"/>
                <w:szCs w:val="28"/>
              </w:rPr>
            </w:pP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1. Інформація на запит надається безкоштовно.</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 xml:space="preserve">2.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w:t>
            </w:r>
            <w:r w:rsidRPr="003A35C5">
              <w:rPr>
                <w:rFonts w:ascii="Times New Roman" w:hAnsi="Times New Roman"/>
                <w:sz w:val="28"/>
                <w:szCs w:val="28"/>
              </w:rPr>
              <w:lastRenderedPageBreak/>
              <w:t>фактичні витрати на копіювання та друк.</w:t>
            </w:r>
          </w:p>
          <w:p w:rsidR="003A35C5" w:rsidRPr="003A35C5" w:rsidRDefault="003A35C5" w:rsidP="003A35C5">
            <w:pPr>
              <w:spacing w:after="160" w:line="259" w:lineRule="auto"/>
              <w:ind w:firstLine="340"/>
              <w:jc w:val="both"/>
              <w:rPr>
                <w:rFonts w:ascii="Times New Roman" w:hAnsi="Times New Roman"/>
                <w:sz w:val="28"/>
                <w:szCs w:val="28"/>
              </w:rPr>
            </w:pPr>
            <w:r w:rsidRPr="003A35C5">
              <w:rPr>
                <w:rFonts w:ascii="Times New Roman" w:hAnsi="Times New Roman"/>
                <w:sz w:val="28"/>
                <w:szCs w:val="28"/>
              </w:rPr>
              <w:t>3. Розмір фактичних витрат визначається відповідним розпорядником на копіювання та друк в межах граничних норм, встановлених Кабінетом Міністрів України. У разі якщо розпорядник інформації не встановив розміру плати за копіювання або друк, інформація надається безкоштовно.</w:t>
            </w:r>
          </w:p>
          <w:p w:rsidR="003A35C5" w:rsidRPr="003A35C5" w:rsidRDefault="003A35C5" w:rsidP="003A35C5">
            <w:pPr>
              <w:spacing w:before="120" w:after="160" w:line="259" w:lineRule="auto"/>
              <w:ind w:firstLine="340"/>
              <w:jc w:val="both"/>
              <w:rPr>
                <w:rFonts w:ascii="Times New Roman" w:hAnsi="Times New Roman"/>
                <w:b/>
                <w:sz w:val="28"/>
                <w:szCs w:val="28"/>
                <w:u w:val="single"/>
              </w:rPr>
            </w:pPr>
            <w:r w:rsidRPr="003A35C5">
              <w:rPr>
                <w:rFonts w:ascii="Times New Roman" w:hAnsi="Times New Roman"/>
                <w:sz w:val="28"/>
                <w:szCs w:val="28"/>
              </w:rPr>
              <w:t>4. При наданні особі інформації про себе та інформації, що становить суспільний інтерес, плата за копіювання та друк не стягується,</w:t>
            </w:r>
            <w:r w:rsidRPr="003A35C5">
              <w:rPr>
                <w:rFonts w:ascii="Times New Roman" w:hAnsi="Times New Roman"/>
                <w:b/>
                <w:sz w:val="28"/>
                <w:szCs w:val="28"/>
              </w:rPr>
              <w:t xml:space="preserve"> крім випадків, передбачених законом.</w:t>
            </w:r>
          </w:p>
          <w:p w:rsidR="003A35C5" w:rsidRPr="003A35C5" w:rsidRDefault="003A35C5" w:rsidP="003A35C5">
            <w:pPr>
              <w:spacing w:before="120" w:after="160" w:line="259" w:lineRule="auto"/>
              <w:ind w:firstLine="340"/>
              <w:jc w:val="both"/>
              <w:rPr>
                <w:rFonts w:ascii="Times New Roman" w:hAnsi="Times New Roman"/>
                <w:b/>
                <w:sz w:val="28"/>
                <w:szCs w:val="28"/>
              </w:rPr>
            </w:pPr>
          </w:p>
        </w:tc>
      </w:tr>
    </w:tbl>
    <w:p w:rsidR="003A35C5" w:rsidRPr="003A35C5" w:rsidRDefault="003A35C5" w:rsidP="003A35C5">
      <w:pPr>
        <w:spacing w:after="160" w:line="259" w:lineRule="auto"/>
        <w:ind w:firstLine="540"/>
        <w:jc w:val="both"/>
        <w:rPr>
          <w:rFonts w:ascii="Times New Roman" w:hAnsi="Times New Roman"/>
          <w:sz w:val="28"/>
          <w:szCs w:val="28"/>
        </w:rPr>
      </w:pPr>
    </w:p>
    <w:p w:rsidR="003A35C5" w:rsidRPr="003A35C5" w:rsidRDefault="003A35C5" w:rsidP="003A35C5">
      <w:pPr>
        <w:spacing w:after="0" w:line="240" w:lineRule="auto"/>
        <w:jc w:val="both"/>
        <w:rPr>
          <w:rFonts w:ascii="Times New Roman" w:eastAsia="Times New Roman" w:hAnsi="Times New Roman"/>
          <w:b/>
          <w:bCs/>
          <w:sz w:val="28"/>
          <w:szCs w:val="28"/>
          <w:lang w:eastAsia="ru-RU"/>
        </w:rPr>
      </w:pPr>
      <w:r w:rsidRPr="003A35C5">
        <w:rPr>
          <w:rFonts w:ascii="Times New Roman" w:eastAsia="Times New Roman" w:hAnsi="Times New Roman"/>
          <w:b/>
          <w:bCs/>
          <w:sz w:val="28"/>
          <w:szCs w:val="28"/>
          <w:lang w:eastAsia="ru-RU"/>
        </w:rPr>
        <w:t xml:space="preserve">Виконуючий обов’язки </w:t>
      </w:r>
    </w:p>
    <w:p w:rsidR="003A35C5" w:rsidRPr="003A35C5" w:rsidRDefault="003A35C5" w:rsidP="003A35C5">
      <w:pPr>
        <w:spacing w:after="0" w:line="240" w:lineRule="auto"/>
        <w:jc w:val="both"/>
        <w:rPr>
          <w:rFonts w:ascii="Times New Roman" w:eastAsia="Times New Roman" w:hAnsi="Times New Roman"/>
          <w:b/>
          <w:bCs/>
          <w:sz w:val="28"/>
          <w:szCs w:val="28"/>
          <w:lang w:eastAsia="ru-RU"/>
        </w:rPr>
      </w:pPr>
      <w:r w:rsidRPr="003A35C5">
        <w:rPr>
          <w:rFonts w:ascii="Times New Roman" w:eastAsia="Times New Roman" w:hAnsi="Times New Roman"/>
          <w:b/>
          <w:bCs/>
          <w:sz w:val="28"/>
          <w:szCs w:val="28"/>
          <w:lang w:eastAsia="ru-RU"/>
        </w:rPr>
        <w:t xml:space="preserve">Міністра захисту довкілля та </w:t>
      </w:r>
    </w:p>
    <w:p w:rsidR="003A35C5" w:rsidRPr="003A35C5" w:rsidRDefault="003A35C5" w:rsidP="003A35C5">
      <w:pPr>
        <w:spacing w:after="0" w:line="240" w:lineRule="auto"/>
        <w:jc w:val="both"/>
        <w:rPr>
          <w:rFonts w:ascii="Times New Roman" w:eastAsia="Times New Roman" w:hAnsi="Times New Roman"/>
          <w:sz w:val="28"/>
          <w:szCs w:val="28"/>
          <w:lang w:eastAsia="ru-RU"/>
        </w:rPr>
      </w:pPr>
      <w:r w:rsidRPr="003A35C5">
        <w:rPr>
          <w:rFonts w:ascii="Times New Roman" w:eastAsia="Times New Roman" w:hAnsi="Times New Roman"/>
          <w:b/>
          <w:bCs/>
          <w:sz w:val="28"/>
          <w:szCs w:val="28"/>
          <w:lang w:eastAsia="ru-RU"/>
        </w:rPr>
        <w:t xml:space="preserve">природних ресурсів України                                               </w:t>
      </w:r>
      <w:r w:rsidRPr="003A35C5">
        <w:rPr>
          <w:rFonts w:ascii="Times New Roman" w:eastAsia="Times New Roman" w:hAnsi="Times New Roman"/>
          <w:b/>
          <w:bCs/>
          <w:sz w:val="28"/>
          <w:szCs w:val="28"/>
          <w:lang w:eastAsia="ru-RU"/>
        </w:rPr>
        <w:tab/>
      </w:r>
      <w:r w:rsidRPr="003A35C5">
        <w:rPr>
          <w:rFonts w:ascii="Times New Roman" w:eastAsia="Times New Roman" w:hAnsi="Times New Roman"/>
          <w:b/>
          <w:bCs/>
          <w:sz w:val="28"/>
          <w:szCs w:val="28"/>
          <w:lang w:eastAsia="ru-RU"/>
        </w:rPr>
        <w:tab/>
      </w:r>
      <w:r w:rsidRPr="003A35C5">
        <w:rPr>
          <w:rFonts w:ascii="Times New Roman" w:eastAsia="Times New Roman" w:hAnsi="Times New Roman"/>
          <w:b/>
          <w:bCs/>
          <w:sz w:val="28"/>
          <w:szCs w:val="28"/>
          <w:lang w:eastAsia="ru-RU"/>
        </w:rPr>
        <w:tab/>
      </w:r>
      <w:r w:rsidRPr="003A35C5">
        <w:rPr>
          <w:rFonts w:ascii="Times New Roman" w:eastAsia="Times New Roman" w:hAnsi="Times New Roman"/>
          <w:b/>
          <w:bCs/>
          <w:sz w:val="28"/>
          <w:szCs w:val="28"/>
          <w:lang w:eastAsia="ru-RU"/>
        </w:rPr>
        <w:tab/>
      </w:r>
      <w:r w:rsidRPr="003A35C5">
        <w:rPr>
          <w:rFonts w:ascii="Times New Roman" w:eastAsia="Times New Roman" w:hAnsi="Times New Roman"/>
          <w:b/>
          <w:bCs/>
          <w:sz w:val="28"/>
          <w:szCs w:val="28"/>
          <w:lang w:eastAsia="ru-RU"/>
        </w:rPr>
        <w:tab/>
      </w:r>
      <w:r w:rsidRPr="003A35C5">
        <w:rPr>
          <w:rFonts w:ascii="Times New Roman" w:eastAsia="Times New Roman" w:hAnsi="Times New Roman"/>
          <w:b/>
          <w:bCs/>
          <w:sz w:val="28"/>
          <w:szCs w:val="28"/>
          <w:lang w:eastAsia="ru-RU"/>
        </w:rPr>
        <w:tab/>
        <w:t xml:space="preserve">              </w:t>
      </w:r>
      <w:r w:rsidRPr="003A35C5">
        <w:rPr>
          <w:rFonts w:ascii="Times New Roman" w:eastAsia="Times New Roman" w:hAnsi="Times New Roman"/>
          <w:b/>
          <w:sz w:val="28"/>
          <w:szCs w:val="28"/>
          <w:lang w:eastAsia="ru-RU" w:bidi="uk-UA"/>
        </w:rPr>
        <w:t>Руслан СТРІЛЕЦЬ</w:t>
      </w:r>
    </w:p>
    <w:p w:rsidR="003A35C5" w:rsidRPr="003A35C5" w:rsidRDefault="003A35C5" w:rsidP="003A35C5">
      <w:pPr>
        <w:spacing w:after="160" w:line="259" w:lineRule="auto"/>
        <w:jc w:val="both"/>
        <w:rPr>
          <w:rFonts w:ascii="Times New Roman" w:hAnsi="Times New Roman"/>
          <w:sz w:val="28"/>
          <w:szCs w:val="28"/>
        </w:rPr>
      </w:pPr>
    </w:p>
    <w:p w:rsidR="003A35C5" w:rsidRPr="003A35C5" w:rsidRDefault="003A35C5" w:rsidP="003A35C5">
      <w:pPr>
        <w:spacing w:after="160" w:line="259" w:lineRule="auto"/>
        <w:jc w:val="both"/>
        <w:rPr>
          <w:rFonts w:ascii="Times New Roman" w:hAnsi="Times New Roman"/>
          <w:sz w:val="28"/>
          <w:szCs w:val="28"/>
        </w:rPr>
      </w:pPr>
      <w:r w:rsidRPr="003A35C5">
        <w:rPr>
          <w:rFonts w:ascii="Times New Roman" w:hAnsi="Times New Roman"/>
          <w:sz w:val="28"/>
          <w:szCs w:val="28"/>
        </w:rPr>
        <w:t>«___» _____________ 2021 року</w:t>
      </w:r>
    </w:p>
    <w:sectPr w:rsidR="003A35C5" w:rsidRPr="003A35C5" w:rsidSect="003A35C5">
      <w:headerReference w:type="default" r:id="rId7"/>
      <w:pgSz w:w="16838" w:h="11906" w:orient="landscape"/>
      <w:pgMar w:top="1418"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9B6" w:rsidRDefault="00CA19B6" w:rsidP="003A35C5">
      <w:pPr>
        <w:spacing w:after="0" w:line="240" w:lineRule="auto"/>
      </w:pPr>
      <w:r>
        <w:separator/>
      </w:r>
    </w:p>
  </w:endnote>
  <w:endnote w:type="continuationSeparator" w:id="0">
    <w:p w:rsidR="00CA19B6" w:rsidRDefault="00CA19B6" w:rsidP="003A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9B6" w:rsidRDefault="00CA19B6" w:rsidP="003A35C5">
      <w:pPr>
        <w:spacing w:after="0" w:line="240" w:lineRule="auto"/>
      </w:pPr>
      <w:r>
        <w:separator/>
      </w:r>
    </w:p>
  </w:footnote>
  <w:footnote w:type="continuationSeparator" w:id="0">
    <w:p w:rsidR="00CA19B6" w:rsidRDefault="00CA19B6" w:rsidP="003A35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5C5" w:rsidRPr="003A35C5" w:rsidRDefault="003A35C5">
    <w:pPr>
      <w:pStyle w:val="a3"/>
      <w:jc w:val="center"/>
      <w:rPr>
        <w:rFonts w:ascii="Times New Roman" w:hAnsi="Times New Roman"/>
      </w:rPr>
    </w:pPr>
    <w:r w:rsidRPr="003A35C5">
      <w:rPr>
        <w:rFonts w:ascii="Times New Roman" w:hAnsi="Times New Roman"/>
      </w:rPr>
      <w:fldChar w:fldCharType="begin"/>
    </w:r>
    <w:r w:rsidRPr="003A35C5">
      <w:rPr>
        <w:rFonts w:ascii="Times New Roman" w:hAnsi="Times New Roman"/>
      </w:rPr>
      <w:instrText>PAGE   \* MERGEFORMAT</w:instrText>
    </w:r>
    <w:r w:rsidRPr="003A35C5">
      <w:rPr>
        <w:rFonts w:ascii="Times New Roman" w:hAnsi="Times New Roman"/>
      </w:rPr>
      <w:fldChar w:fldCharType="separate"/>
    </w:r>
    <w:r w:rsidR="00D34F99" w:rsidRPr="00D34F99">
      <w:rPr>
        <w:rFonts w:ascii="Times New Roman" w:hAnsi="Times New Roman"/>
        <w:noProof/>
        <w:lang w:val="ru-RU"/>
      </w:rPr>
      <w:t>7</w:t>
    </w:r>
    <w:r w:rsidRPr="003A35C5">
      <w:rPr>
        <w:rFonts w:ascii="Times New Roman" w:hAnsi="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5C5"/>
    <w:rsid w:val="00053E4D"/>
    <w:rsid w:val="003A35C5"/>
    <w:rsid w:val="006604AC"/>
    <w:rsid w:val="00CA19B6"/>
    <w:rsid w:val="00D34F99"/>
    <w:rsid w:val="00F24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35C5"/>
    <w:pPr>
      <w:tabs>
        <w:tab w:val="center" w:pos="4819"/>
        <w:tab w:val="right" w:pos="9639"/>
      </w:tabs>
    </w:pPr>
  </w:style>
  <w:style w:type="character" w:customStyle="1" w:styleId="a4">
    <w:name w:val="Верхний колонтитул Знак"/>
    <w:link w:val="a3"/>
    <w:uiPriority w:val="99"/>
    <w:rsid w:val="003A35C5"/>
    <w:rPr>
      <w:sz w:val="22"/>
      <w:szCs w:val="22"/>
      <w:lang w:eastAsia="en-US"/>
    </w:rPr>
  </w:style>
  <w:style w:type="paragraph" w:styleId="a5">
    <w:name w:val="footer"/>
    <w:basedOn w:val="a"/>
    <w:link w:val="a6"/>
    <w:uiPriority w:val="99"/>
    <w:unhideWhenUsed/>
    <w:rsid w:val="003A35C5"/>
    <w:pPr>
      <w:tabs>
        <w:tab w:val="center" w:pos="4819"/>
        <w:tab w:val="right" w:pos="9639"/>
      </w:tabs>
    </w:pPr>
  </w:style>
  <w:style w:type="character" w:customStyle="1" w:styleId="a6">
    <w:name w:val="Нижний колонтитул Знак"/>
    <w:link w:val="a5"/>
    <w:uiPriority w:val="99"/>
    <w:rsid w:val="003A35C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35C5"/>
    <w:pPr>
      <w:tabs>
        <w:tab w:val="center" w:pos="4819"/>
        <w:tab w:val="right" w:pos="9639"/>
      </w:tabs>
    </w:pPr>
  </w:style>
  <w:style w:type="character" w:customStyle="1" w:styleId="a4">
    <w:name w:val="Верхний колонтитул Знак"/>
    <w:link w:val="a3"/>
    <w:uiPriority w:val="99"/>
    <w:rsid w:val="003A35C5"/>
    <w:rPr>
      <w:sz w:val="22"/>
      <w:szCs w:val="22"/>
      <w:lang w:eastAsia="en-US"/>
    </w:rPr>
  </w:style>
  <w:style w:type="paragraph" w:styleId="a5">
    <w:name w:val="footer"/>
    <w:basedOn w:val="a"/>
    <w:link w:val="a6"/>
    <w:uiPriority w:val="99"/>
    <w:unhideWhenUsed/>
    <w:rsid w:val="003A35C5"/>
    <w:pPr>
      <w:tabs>
        <w:tab w:val="center" w:pos="4819"/>
        <w:tab w:val="right" w:pos="9639"/>
      </w:tabs>
    </w:pPr>
  </w:style>
  <w:style w:type="character" w:customStyle="1" w:styleId="a6">
    <w:name w:val="Нижний колонтитул Знак"/>
    <w:link w:val="a5"/>
    <w:uiPriority w:val="99"/>
    <w:rsid w:val="003A35C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1886</Words>
  <Characters>10755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Римарєва Юлія Олександрівна</dc:creator>
  <cp:lastModifiedBy>Петрова </cp:lastModifiedBy>
  <cp:revision>2</cp:revision>
  <dcterms:created xsi:type="dcterms:W3CDTF">2021-12-24T10:00:00Z</dcterms:created>
  <dcterms:modified xsi:type="dcterms:W3CDTF">2021-12-24T10:00:00Z</dcterms:modified>
</cp:coreProperties>
</file>