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2F4" w:rsidRDefault="002B42F4" w:rsidP="00415EAE">
      <w:pPr>
        <w:spacing w:line="235" w:lineRule="auto"/>
        <w:jc w:val="center"/>
        <w:rPr>
          <w:b/>
          <w:bCs/>
          <w:spacing w:val="-4"/>
          <w:sz w:val="28"/>
          <w:szCs w:val="28"/>
          <w:lang w:val="uk-UA"/>
        </w:rPr>
      </w:pPr>
      <w:r w:rsidRPr="00BE436D">
        <w:rPr>
          <w:b/>
          <w:bCs/>
          <w:spacing w:val="-4"/>
          <w:sz w:val="28"/>
          <w:szCs w:val="28"/>
          <w:lang w:val="uk-UA"/>
        </w:rPr>
        <w:t>ПОРІВНЯЛЬНА ТАБЛИЦЯ</w:t>
      </w:r>
    </w:p>
    <w:p w:rsidR="00BD08EF" w:rsidRPr="00BE436D" w:rsidRDefault="00BD08EF" w:rsidP="00415EAE">
      <w:pPr>
        <w:spacing w:line="235" w:lineRule="auto"/>
        <w:jc w:val="center"/>
        <w:rPr>
          <w:b/>
          <w:bCs/>
          <w:spacing w:val="-4"/>
          <w:sz w:val="28"/>
          <w:szCs w:val="28"/>
          <w:lang w:val="uk-UA"/>
        </w:rPr>
      </w:pPr>
    </w:p>
    <w:p w:rsidR="009721E7" w:rsidRDefault="002B42F4" w:rsidP="00415EAE">
      <w:pPr>
        <w:pStyle w:val="a3"/>
        <w:spacing w:line="235" w:lineRule="auto"/>
        <w:jc w:val="center"/>
        <w:rPr>
          <w:b/>
          <w:bCs/>
          <w:spacing w:val="-4"/>
          <w:szCs w:val="28"/>
        </w:rPr>
      </w:pPr>
      <w:r w:rsidRPr="00BE436D">
        <w:rPr>
          <w:b/>
          <w:bCs/>
          <w:spacing w:val="-4"/>
          <w:szCs w:val="28"/>
        </w:rPr>
        <w:t xml:space="preserve">до проекту Закону України </w:t>
      </w:r>
      <w:r w:rsidR="006864F3" w:rsidRPr="00BE436D">
        <w:rPr>
          <w:b/>
          <w:bCs/>
          <w:spacing w:val="-4"/>
          <w:szCs w:val="28"/>
        </w:rPr>
        <w:t>"</w:t>
      </w:r>
      <w:r w:rsidR="003F7336" w:rsidRPr="003F7336">
        <w:rPr>
          <w:b/>
          <w:bCs/>
          <w:spacing w:val="-4"/>
          <w:szCs w:val="28"/>
        </w:rPr>
        <w:t>Про внесення змін до Кодексу України про адміністративні</w:t>
      </w:r>
      <w:r w:rsidR="003F7336">
        <w:rPr>
          <w:b/>
          <w:bCs/>
          <w:spacing w:val="-4"/>
          <w:szCs w:val="28"/>
        </w:rPr>
        <w:t xml:space="preserve"> </w:t>
      </w:r>
      <w:r w:rsidR="003F7336" w:rsidRPr="003F7336">
        <w:rPr>
          <w:b/>
          <w:bCs/>
          <w:spacing w:val="-4"/>
          <w:szCs w:val="28"/>
        </w:rPr>
        <w:t xml:space="preserve">правопорушення, Кримінального кодексу України </w:t>
      </w:r>
      <w:r w:rsidR="009721E7">
        <w:rPr>
          <w:b/>
          <w:bCs/>
          <w:spacing w:val="-4"/>
          <w:szCs w:val="28"/>
        </w:rPr>
        <w:t xml:space="preserve">щодо відповідальності за порушення </w:t>
      </w:r>
    </w:p>
    <w:p w:rsidR="00BB52CF" w:rsidRPr="00BE436D" w:rsidRDefault="009721E7" w:rsidP="00415EAE">
      <w:pPr>
        <w:pStyle w:val="a3"/>
        <w:spacing w:line="235" w:lineRule="auto"/>
        <w:jc w:val="center"/>
        <w:rPr>
          <w:b/>
          <w:bCs/>
          <w:spacing w:val="-4"/>
          <w:szCs w:val="28"/>
        </w:rPr>
      </w:pPr>
      <w:r>
        <w:rPr>
          <w:b/>
          <w:bCs/>
          <w:spacing w:val="-4"/>
          <w:szCs w:val="28"/>
        </w:rPr>
        <w:t>інтересів учасників Фонду майбутніх поколінь</w:t>
      </w:r>
      <w:r w:rsidR="006864F3" w:rsidRPr="00BE436D">
        <w:rPr>
          <w:b/>
          <w:bCs/>
          <w:spacing w:val="-4"/>
          <w:szCs w:val="28"/>
        </w:rPr>
        <w:t>"</w:t>
      </w:r>
    </w:p>
    <w:p w:rsidR="00BE436D" w:rsidRPr="00BE436D" w:rsidRDefault="00BE436D" w:rsidP="00415EAE">
      <w:pPr>
        <w:pStyle w:val="a3"/>
        <w:spacing w:line="235" w:lineRule="auto"/>
        <w:jc w:val="center"/>
        <w:rPr>
          <w:b/>
          <w:bCs/>
          <w:spacing w:val="-4"/>
          <w:szCs w:val="2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7371"/>
      </w:tblGrid>
      <w:tr w:rsidR="002B42F4" w:rsidRPr="00BE436D" w:rsidTr="00B40C55">
        <w:tc>
          <w:tcPr>
            <w:tcW w:w="7371" w:type="dxa"/>
          </w:tcPr>
          <w:p w:rsidR="002B42F4" w:rsidRPr="00BE436D" w:rsidRDefault="002B42F4" w:rsidP="00415EAE">
            <w:pPr>
              <w:spacing w:line="235" w:lineRule="auto"/>
              <w:jc w:val="center"/>
              <w:rPr>
                <w:b/>
                <w:spacing w:val="-4"/>
                <w:sz w:val="28"/>
                <w:szCs w:val="28"/>
                <w:lang w:val="uk-UA"/>
              </w:rPr>
            </w:pPr>
            <w:r w:rsidRPr="00BE436D">
              <w:rPr>
                <w:b/>
                <w:spacing w:val="-4"/>
                <w:sz w:val="28"/>
                <w:szCs w:val="28"/>
                <w:lang w:val="uk-UA"/>
              </w:rPr>
              <w:t>Чинна редакція</w:t>
            </w:r>
          </w:p>
        </w:tc>
        <w:tc>
          <w:tcPr>
            <w:tcW w:w="7371" w:type="dxa"/>
          </w:tcPr>
          <w:p w:rsidR="002B42F4" w:rsidRPr="00BE436D" w:rsidRDefault="002B42F4" w:rsidP="00415EAE">
            <w:pPr>
              <w:spacing w:line="235" w:lineRule="auto"/>
              <w:jc w:val="center"/>
              <w:rPr>
                <w:b/>
                <w:spacing w:val="-4"/>
                <w:sz w:val="28"/>
                <w:szCs w:val="28"/>
                <w:lang w:val="uk-UA"/>
              </w:rPr>
            </w:pPr>
            <w:r w:rsidRPr="00BE436D">
              <w:rPr>
                <w:b/>
                <w:spacing w:val="-4"/>
                <w:sz w:val="28"/>
                <w:szCs w:val="28"/>
                <w:lang w:val="uk-UA"/>
              </w:rPr>
              <w:t>Запропонована редакція</w:t>
            </w:r>
          </w:p>
        </w:tc>
      </w:tr>
    </w:tbl>
    <w:p w:rsidR="00F02458" w:rsidRPr="00BE436D" w:rsidRDefault="00F02458" w:rsidP="00415EAE">
      <w:pPr>
        <w:spacing w:line="235" w:lineRule="auto"/>
        <w:rPr>
          <w:spacing w:val="-4"/>
          <w:sz w:val="2"/>
          <w:szCs w:val="2"/>
          <w:lang w:val="uk-UA"/>
        </w:rPr>
      </w:pPr>
    </w:p>
    <w:tbl>
      <w:tblPr>
        <w:tblW w:w="14742"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371"/>
        <w:gridCol w:w="7371"/>
      </w:tblGrid>
      <w:tr w:rsidR="00B40C55" w:rsidRPr="00BE436D" w:rsidTr="00F02458">
        <w:trPr>
          <w:trHeight w:val="262"/>
          <w:tblHeader/>
        </w:trPr>
        <w:tc>
          <w:tcPr>
            <w:tcW w:w="7371" w:type="dxa"/>
            <w:tcBorders>
              <w:top w:val="single" w:sz="4" w:space="0" w:color="auto"/>
              <w:bottom w:val="single" w:sz="4" w:space="0" w:color="auto"/>
            </w:tcBorders>
          </w:tcPr>
          <w:p w:rsidR="00B40C55" w:rsidRPr="00BE436D" w:rsidRDefault="00B40C55" w:rsidP="00415EAE">
            <w:pPr>
              <w:spacing w:line="235" w:lineRule="auto"/>
              <w:jc w:val="center"/>
              <w:rPr>
                <w:b/>
                <w:spacing w:val="-4"/>
                <w:sz w:val="28"/>
                <w:szCs w:val="28"/>
                <w:lang w:val="uk-UA"/>
              </w:rPr>
            </w:pPr>
            <w:r w:rsidRPr="00BE436D">
              <w:rPr>
                <w:b/>
                <w:spacing w:val="-4"/>
                <w:sz w:val="28"/>
                <w:szCs w:val="28"/>
                <w:lang w:val="uk-UA"/>
              </w:rPr>
              <w:t>1</w:t>
            </w:r>
          </w:p>
        </w:tc>
        <w:tc>
          <w:tcPr>
            <w:tcW w:w="7371" w:type="dxa"/>
            <w:tcBorders>
              <w:top w:val="single" w:sz="4" w:space="0" w:color="auto"/>
              <w:bottom w:val="single" w:sz="4" w:space="0" w:color="auto"/>
            </w:tcBorders>
          </w:tcPr>
          <w:p w:rsidR="00B40C55" w:rsidRPr="00BE436D" w:rsidRDefault="00B40C55" w:rsidP="00415EAE">
            <w:pPr>
              <w:spacing w:line="235" w:lineRule="auto"/>
              <w:jc w:val="center"/>
              <w:rPr>
                <w:b/>
                <w:spacing w:val="-4"/>
                <w:sz w:val="28"/>
                <w:szCs w:val="28"/>
                <w:lang w:val="uk-UA"/>
              </w:rPr>
            </w:pPr>
            <w:r w:rsidRPr="00BE436D">
              <w:rPr>
                <w:b/>
                <w:spacing w:val="-4"/>
                <w:sz w:val="28"/>
                <w:szCs w:val="28"/>
                <w:lang w:val="uk-UA"/>
              </w:rPr>
              <w:t>2</w:t>
            </w:r>
          </w:p>
        </w:tc>
      </w:tr>
      <w:tr w:rsidR="00A119B0" w:rsidRPr="00BE436D" w:rsidTr="00F02458">
        <w:trPr>
          <w:trHeight w:val="277"/>
        </w:trPr>
        <w:tc>
          <w:tcPr>
            <w:tcW w:w="14742" w:type="dxa"/>
            <w:gridSpan w:val="2"/>
            <w:tcBorders>
              <w:top w:val="single" w:sz="4" w:space="0" w:color="auto"/>
              <w:bottom w:val="single" w:sz="4" w:space="0" w:color="auto"/>
            </w:tcBorders>
          </w:tcPr>
          <w:p w:rsidR="00704B0C" w:rsidRPr="00BE436D" w:rsidRDefault="003F7336" w:rsidP="00415EAE">
            <w:pPr>
              <w:spacing w:before="120" w:after="120" w:line="235" w:lineRule="auto"/>
              <w:jc w:val="center"/>
              <w:rPr>
                <w:b/>
                <w:spacing w:val="-4"/>
                <w:sz w:val="28"/>
                <w:szCs w:val="28"/>
                <w:lang w:val="uk-UA"/>
              </w:rPr>
            </w:pPr>
            <w:r>
              <w:rPr>
                <w:b/>
                <w:spacing w:val="-4"/>
                <w:sz w:val="28"/>
                <w:szCs w:val="28"/>
                <w:lang w:val="uk-UA"/>
              </w:rPr>
              <w:t>Кодекс</w:t>
            </w:r>
            <w:r w:rsidRPr="003F7336">
              <w:rPr>
                <w:b/>
                <w:spacing w:val="-4"/>
                <w:sz w:val="28"/>
                <w:szCs w:val="28"/>
                <w:lang w:val="uk-UA"/>
              </w:rPr>
              <w:t xml:space="preserve"> України про адміністративні правопорушення</w:t>
            </w:r>
          </w:p>
        </w:tc>
      </w:tr>
      <w:tr w:rsidR="006A7208" w:rsidRPr="009721E7" w:rsidTr="00F02458">
        <w:trPr>
          <w:trHeight w:val="562"/>
        </w:trPr>
        <w:tc>
          <w:tcPr>
            <w:tcW w:w="7371" w:type="dxa"/>
            <w:tcBorders>
              <w:top w:val="single" w:sz="4" w:space="0" w:color="auto"/>
              <w:bottom w:val="single" w:sz="4" w:space="0" w:color="auto"/>
            </w:tcBorders>
          </w:tcPr>
          <w:p w:rsidR="00585183" w:rsidRPr="006A7208" w:rsidRDefault="00592185" w:rsidP="00592185">
            <w:pPr>
              <w:spacing w:before="240" w:after="120" w:line="235" w:lineRule="auto"/>
              <w:ind w:firstLine="342"/>
              <w:rPr>
                <w:b/>
                <w:bCs/>
                <w:spacing w:val="-4"/>
                <w:sz w:val="28"/>
                <w:szCs w:val="28"/>
                <w:lang w:val="uk-UA"/>
              </w:rPr>
            </w:pPr>
            <w:r>
              <w:rPr>
                <w:b/>
                <w:bCs/>
                <w:spacing w:val="-4"/>
                <w:sz w:val="28"/>
                <w:szCs w:val="28"/>
                <w:lang w:val="uk-UA"/>
              </w:rPr>
              <w:t>В</w:t>
            </w:r>
            <w:r w:rsidR="00585183">
              <w:rPr>
                <w:b/>
                <w:bCs/>
                <w:spacing w:val="-4"/>
                <w:sz w:val="28"/>
                <w:szCs w:val="28"/>
                <w:lang w:val="uk-UA"/>
              </w:rPr>
              <w:t>ідсутня</w:t>
            </w:r>
          </w:p>
        </w:tc>
        <w:tc>
          <w:tcPr>
            <w:tcW w:w="7371" w:type="dxa"/>
            <w:tcBorders>
              <w:top w:val="single" w:sz="4" w:space="0" w:color="auto"/>
              <w:bottom w:val="single" w:sz="4" w:space="0" w:color="auto"/>
            </w:tcBorders>
          </w:tcPr>
          <w:p w:rsidR="009721E7" w:rsidRPr="009721E7" w:rsidRDefault="00585183" w:rsidP="009721E7">
            <w:pPr>
              <w:spacing w:after="120" w:line="235" w:lineRule="auto"/>
              <w:ind w:firstLine="342"/>
              <w:jc w:val="both"/>
              <w:rPr>
                <w:b/>
                <w:bCs/>
                <w:spacing w:val="-4"/>
                <w:sz w:val="28"/>
                <w:szCs w:val="28"/>
                <w:lang w:val="uk-UA"/>
              </w:rPr>
            </w:pPr>
            <w:r w:rsidRPr="00585183">
              <w:rPr>
                <w:b/>
                <w:bCs/>
                <w:spacing w:val="-4"/>
                <w:sz w:val="28"/>
                <w:szCs w:val="28"/>
                <w:lang w:val="uk-UA"/>
              </w:rPr>
              <w:t>Стаття</w:t>
            </w:r>
            <w:r w:rsidR="009721E7">
              <w:rPr>
                <w:b/>
                <w:bCs/>
                <w:spacing w:val="-4"/>
                <w:sz w:val="28"/>
                <w:szCs w:val="28"/>
                <w:lang w:val="uk-UA"/>
              </w:rPr>
              <w:t xml:space="preserve"> 165-6</w:t>
            </w:r>
            <w:r w:rsidRPr="00585183">
              <w:rPr>
                <w:b/>
                <w:bCs/>
                <w:spacing w:val="-4"/>
                <w:sz w:val="28"/>
                <w:szCs w:val="28"/>
                <w:lang w:val="uk-UA"/>
              </w:rPr>
              <w:t xml:space="preserve">. </w:t>
            </w:r>
            <w:r w:rsidR="009721E7" w:rsidRPr="009721E7">
              <w:rPr>
                <w:b/>
                <w:bCs/>
                <w:spacing w:val="-4"/>
                <w:sz w:val="28"/>
                <w:szCs w:val="28"/>
                <w:lang w:val="uk-UA"/>
              </w:rPr>
              <w:t>Порушення інтересів учасників Фонду майбутніх поколінь</w:t>
            </w:r>
          </w:p>
          <w:p w:rsidR="009721E7" w:rsidRPr="009721E7" w:rsidRDefault="009721E7" w:rsidP="009721E7">
            <w:pPr>
              <w:spacing w:after="120" w:line="235" w:lineRule="auto"/>
              <w:ind w:firstLine="342"/>
              <w:jc w:val="both"/>
              <w:rPr>
                <w:b/>
                <w:bCs/>
                <w:spacing w:val="-4"/>
                <w:sz w:val="28"/>
                <w:szCs w:val="28"/>
                <w:lang w:val="uk-UA"/>
              </w:rPr>
            </w:pPr>
            <w:r w:rsidRPr="009721E7">
              <w:rPr>
                <w:b/>
                <w:bCs/>
                <w:spacing w:val="-4"/>
                <w:sz w:val="28"/>
                <w:szCs w:val="28"/>
                <w:lang w:val="uk-UA"/>
              </w:rPr>
              <w:t>Вчинення посадовими особами або заінтересованими особами компанії з управління активами Фонду майбутніх поколінь дій, спрямованих на відчуження або придбання активів Фонду майбутніх поколінь за ціною іншою ніж ринкова, якщо це призвело до збитків Фонду майбутніх поколінь та/або учасників Фонду майбутніх поколінь, –</w:t>
            </w:r>
          </w:p>
          <w:p w:rsidR="009721E7" w:rsidRPr="009721E7" w:rsidRDefault="009721E7" w:rsidP="009721E7">
            <w:pPr>
              <w:spacing w:after="120" w:line="235" w:lineRule="auto"/>
              <w:ind w:firstLine="342"/>
              <w:jc w:val="both"/>
              <w:rPr>
                <w:b/>
                <w:bCs/>
                <w:spacing w:val="-4"/>
                <w:sz w:val="28"/>
                <w:szCs w:val="28"/>
                <w:lang w:val="uk-UA"/>
              </w:rPr>
            </w:pPr>
            <w:r w:rsidRPr="009721E7">
              <w:rPr>
                <w:b/>
                <w:bCs/>
                <w:spacing w:val="-4"/>
                <w:sz w:val="28"/>
                <w:szCs w:val="28"/>
                <w:lang w:val="uk-UA"/>
              </w:rPr>
              <w:t>тягне за собою накладення штрафу від однієї тисячі до трьох тисяч неоподатковуваних мінімумів доходів громадян.</w:t>
            </w:r>
          </w:p>
          <w:p w:rsidR="006A7208" w:rsidRPr="006A7208" w:rsidRDefault="009721E7" w:rsidP="009721E7">
            <w:pPr>
              <w:spacing w:after="120" w:line="235" w:lineRule="auto"/>
              <w:ind w:firstLine="342"/>
              <w:jc w:val="both"/>
              <w:rPr>
                <w:b/>
                <w:bCs/>
                <w:spacing w:val="-4"/>
                <w:sz w:val="28"/>
                <w:szCs w:val="28"/>
                <w:lang w:val="uk-UA"/>
              </w:rPr>
            </w:pPr>
            <w:r w:rsidRPr="009721E7">
              <w:rPr>
                <w:b/>
                <w:bCs/>
                <w:spacing w:val="-4"/>
                <w:sz w:val="28"/>
                <w:szCs w:val="28"/>
                <w:lang w:val="uk-UA"/>
              </w:rPr>
              <w:t>Примітка. Терміни "заінтересована особа", "компанія з управління активами Фонду", "активи Фонду", "Фонд майбутніх поколінь" та "учасн</w:t>
            </w:r>
            <w:r w:rsidR="00F04FF8">
              <w:rPr>
                <w:b/>
                <w:bCs/>
                <w:spacing w:val="-4"/>
                <w:sz w:val="28"/>
                <w:szCs w:val="28"/>
                <w:lang w:val="uk-UA"/>
              </w:rPr>
              <w:t>ики Фонду" вживаються у значеннях, визначених</w:t>
            </w:r>
            <w:r w:rsidRPr="009721E7">
              <w:rPr>
                <w:b/>
                <w:bCs/>
                <w:spacing w:val="-4"/>
                <w:sz w:val="28"/>
                <w:szCs w:val="28"/>
                <w:lang w:val="uk-UA"/>
              </w:rPr>
              <w:t xml:space="preserve"> Законом України "Про економічний паспорт"</w:t>
            </w:r>
            <w:r w:rsidR="00EB3747">
              <w:rPr>
                <w:b/>
                <w:bCs/>
                <w:spacing w:val="-4"/>
                <w:sz w:val="28"/>
                <w:szCs w:val="28"/>
                <w:lang w:val="uk-UA"/>
              </w:rPr>
              <w:t>.</w:t>
            </w:r>
          </w:p>
        </w:tc>
      </w:tr>
      <w:tr w:rsidR="009721E7" w:rsidRPr="00F04FF8" w:rsidTr="00F02458">
        <w:trPr>
          <w:trHeight w:val="562"/>
        </w:trPr>
        <w:tc>
          <w:tcPr>
            <w:tcW w:w="7371" w:type="dxa"/>
            <w:tcBorders>
              <w:top w:val="single" w:sz="4" w:space="0" w:color="auto"/>
              <w:bottom w:val="single" w:sz="4" w:space="0" w:color="auto"/>
            </w:tcBorders>
          </w:tcPr>
          <w:p w:rsidR="00BD08EF" w:rsidRPr="00BD08EF" w:rsidRDefault="00BD08EF" w:rsidP="00BD08EF">
            <w:pPr>
              <w:spacing w:after="120"/>
              <w:ind w:firstLine="342"/>
              <w:jc w:val="both"/>
              <w:rPr>
                <w:bCs/>
                <w:spacing w:val="-8"/>
                <w:sz w:val="28"/>
                <w:szCs w:val="28"/>
                <w:lang w:val="uk-UA"/>
              </w:rPr>
            </w:pPr>
            <w:r w:rsidRPr="00BD08EF">
              <w:rPr>
                <w:bCs/>
                <w:spacing w:val="-8"/>
                <w:sz w:val="28"/>
                <w:szCs w:val="28"/>
                <w:lang w:val="uk-UA"/>
              </w:rPr>
              <w:lastRenderedPageBreak/>
              <w:t xml:space="preserve">Стаття 244-17. Національна комісія з цінних паперів та фондового ринку </w:t>
            </w:r>
          </w:p>
          <w:p w:rsidR="009721E7" w:rsidRPr="00BD08EF" w:rsidRDefault="00BD08EF" w:rsidP="00BD08EF">
            <w:pPr>
              <w:spacing w:after="120"/>
              <w:ind w:firstLine="342"/>
              <w:jc w:val="both"/>
              <w:rPr>
                <w:b/>
                <w:bCs/>
                <w:spacing w:val="-8"/>
                <w:sz w:val="28"/>
                <w:szCs w:val="28"/>
                <w:lang w:val="uk-UA"/>
              </w:rPr>
            </w:pPr>
            <w:r w:rsidRPr="00BD08EF">
              <w:rPr>
                <w:bCs/>
                <w:spacing w:val="-8"/>
                <w:sz w:val="28"/>
                <w:szCs w:val="28"/>
                <w:lang w:val="uk-UA"/>
              </w:rPr>
              <w:t xml:space="preserve">Національна комісія з цінних паперів та фондового ринку розглядає справи про адміністративні правопорушення, пов'язані з порушенням законодавства про захист прав </w:t>
            </w:r>
            <w:r w:rsidRPr="002677B2">
              <w:rPr>
                <w:bCs/>
                <w:spacing w:val="-10"/>
                <w:sz w:val="28"/>
                <w:szCs w:val="28"/>
                <w:lang w:val="uk-UA"/>
              </w:rPr>
              <w:t>споживачів фінансових послуг (частини п'ята, шоста статті 156-</w:t>
            </w:r>
            <w:r w:rsidRPr="00BD08EF">
              <w:rPr>
                <w:bCs/>
                <w:spacing w:val="-8"/>
                <w:sz w:val="28"/>
                <w:szCs w:val="28"/>
                <w:lang w:val="uk-UA"/>
              </w:rPr>
              <w:t>1 – за порушення, вчинені учасниками ринків фінансових послуг, якщо державне регулювання ринку таких послуг здійснюється Національною комісією з цінних паперів та фондового ринку), з порушенням вимог законодавства на ринках капіталу та організованих товарних ринках, у тому числі законодавства про систему накопичувального пенсійного забезпечення (статті 163, 163-5, 163-6, частина перша статті 163-7, статті 163-8 – 163-11, 166-13, 188-30), порушенням емітентами, цінні папери яких допущені до торгів на організованих ринках капіталу або щодо цінних паперів яких здійснено публічну пропозицію, або професійними учасниками ринків капіталу та організованих товарних ринків, або суб'єктами накопичувального пенсійного забезпечення (крім вкладників та учасників), порядку оприлюднення фінансової звітності разом з аудиторським звітом (стаття 163-16).</w:t>
            </w:r>
          </w:p>
        </w:tc>
        <w:tc>
          <w:tcPr>
            <w:tcW w:w="7371" w:type="dxa"/>
            <w:tcBorders>
              <w:top w:val="single" w:sz="4" w:space="0" w:color="auto"/>
              <w:bottom w:val="single" w:sz="4" w:space="0" w:color="auto"/>
            </w:tcBorders>
          </w:tcPr>
          <w:p w:rsidR="00BD08EF" w:rsidRPr="00BD08EF" w:rsidRDefault="00BD08EF" w:rsidP="00BD08EF">
            <w:pPr>
              <w:spacing w:after="120"/>
              <w:ind w:firstLine="342"/>
              <w:jc w:val="both"/>
              <w:rPr>
                <w:bCs/>
                <w:spacing w:val="-8"/>
                <w:sz w:val="28"/>
                <w:szCs w:val="28"/>
                <w:lang w:val="uk-UA"/>
              </w:rPr>
            </w:pPr>
            <w:r w:rsidRPr="00BD08EF">
              <w:rPr>
                <w:bCs/>
                <w:spacing w:val="-8"/>
                <w:sz w:val="28"/>
                <w:szCs w:val="28"/>
                <w:lang w:val="uk-UA"/>
              </w:rPr>
              <w:t xml:space="preserve">Стаття 244-17. Національна комісія з цінних паперів та фондового ринку </w:t>
            </w:r>
          </w:p>
          <w:p w:rsidR="009721E7" w:rsidRPr="00BD08EF" w:rsidRDefault="00BD08EF" w:rsidP="00BD08EF">
            <w:pPr>
              <w:spacing w:after="120"/>
              <w:ind w:firstLine="342"/>
              <w:jc w:val="both"/>
              <w:rPr>
                <w:b/>
                <w:bCs/>
                <w:spacing w:val="-8"/>
                <w:sz w:val="28"/>
                <w:szCs w:val="28"/>
                <w:lang w:val="uk-UA"/>
              </w:rPr>
            </w:pPr>
            <w:r w:rsidRPr="00BD08EF">
              <w:rPr>
                <w:bCs/>
                <w:spacing w:val="-8"/>
                <w:sz w:val="28"/>
                <w:szCs w:val="28"/>
                <w:lang w:val="uk-UA"/>
              </w:rPr>
              <w:t xml:space="preserve">Національна комісія з цінних паперів та фондового ринку розглядає справи про адміністративні правопорушення, пов'язані з порушенням законодавства про захист прав </w:t>
            </w:r>
            <w:r w:rsidRPr="002677B2">
              <w:rPr>
                <w:bCs/>
                <w:spacing w:val="-10"/>
                <w:sz w:val="28"/>
                <w:szCs w:val="28"/>
                <w:lang w:val="uk-UA"/>
              </w:rPr>
              <w:t>споживачів фінансових послуг (частини п'ята, шоста статті 156-</w:t>
            </w:r>
            <w:r w:rsidRPr="00BD08EF">
              <w:rPr>
                <w:bCs/>
                <w:spacing w:val="-8"/>
                <w:sz w:val="28"/>
                <w:szCs w:val="28"/>
                <w:lang w:val="uk-UA"/>
              </w:rPr>
              <w:t xml:space="preserve">1 –  за порушення, вчинені учасниками ринків фінансових послуг, якщо державне регулювання ринку таких послуг здійснюється Національною комісією з цінних паперів та фондового ринку), з порушенням вимог законодавства на ринках капіталу та організованих товарних ринках, у тому числі законодавства про систему накопичувального пенсійного забезпечення (статті 163, 163-5, 163-6, частина перша статті 163-7, статті 163-8 – 163-11, </w:t>
            </w:r>
            <w:r w:rsidRPr="00BD08EF">
              <w:rPr>
                <w:b/>
                <w:bCs/>
                <w:spacing w:val="-8"/>
                <w:sz w:val="28"/>
                <w:szCs w:val="28"/>
                <w:lang w:val="uk-UA"/>
              </w:rPr>
              <w:t>165-6,</w:t>
            </w:r>
            <w:r w:rsidRPr="00BD08EF">
              <w:rPr>
                <w:bCs/>
                <w:spacing w:val="-8"/>
                <w:sz w:val="28"/>
                <w:szCs w:val="28"/>
                <w:lang w:val="uk-UA"/>
              </w:rPr>
              <w:t xml:space="preserve"> 166-13, 188-30), порушенням емітентами, цінні папери яких допущені до торгів на організованих ринках капіталу або щодо цінних паперів яких здійснено публічну пропозицію, або професійними учасниками ринків капіталу та організованих товарних ринків, або суб'єктами накопичувального пенсійного забезпечення (крім вкладників та учасників), порядку оприлюднення фінансової звітності разом з аудиторським звітом (стаття 163-16).</w:t>
            </w:r>
          </w:p>
        </w:tc>
      </w:tr>
      <w:tr w:rsidR="009721E7" w:rsidRPr="00BE436D" w:rsidTr="00923600">
        <w:trPr>
          <w:trHeight w:val="562"/>
        </w:trPr>
        <w:tc>
          <w:tcPr>
            <w:tcW w:w="14742" w:type="dxa"/>
            <w:gridSpan w:val="2"/>
            <w:tcBorders>
              <w:top w:val="single" w:sz="4" w:space="0" w:color="auto"/>
              <w:bottom w:val="single" w:sz="4" w:space="0" w:color="auto"/>
            </w:tcBorders>
          </w:tcPr>
          <w:p w:rsidR="009721E7" w:rsidRPr="006A7208" w:rsidRDefault="009721E7" w:rsidP="009721E7">
            <w:pPr>
              <w:spacing w:before="120" w:after="120"/>
              <w:jc w:val="center"/>
              <w:rPr>
                <w:b/>
                <w:bCs/>
                <w:spacing w:val="-4"/>
                <w:sz w:val="28"/>
                <w:szCs w:val="28"/>
                <w:lang w:val="uk-UA"/>
              </w:rPr>
            </w:pPr>
            <w:r>
              <w:rPr>
                <w:b/>
                <w:bCs/>
                <w:spacing w:val="-4"/>
                <w:sz w:val="28"/>
                <w:szCs w:val="28"/>
                <w:lang w:val="uk-UA"/>
              </w:rPr>
              <w:t>Кримінальний кодекс України</w:t>
            </w:r>
          </w:p>
        </w:tc>
      </w:tr>
      <w:tr w:rsidR="009721E7" w:rsidRPr="009721E7" w:rsidTr="00F02458">
        <w:trPr>
          <w:trHeight w:val="562"/>
        </w:trPr>
        <w:tc>
          <w:tcPr>
            <w:tcW w:w="7371" w:type="dxa"/>
            <w:tcBorders>
              <w:top w:val="single" w:sz="4" w:space="0" w:color="auto"/>
              <w:bottom w:val="single" w:sz="4" w:space="0" w:color="auto"/>
            </w:tcBorders>
          </w:tcPr>
          <w:p w:rsidR="009721E7" w:rsidRDefault="00A43F73" w:rsidP="009721E7">
            <w:pPr>
              <w:ind w:firstLine="342"/>
              <w:rPr>
                <w:b/>
                <w:bCs/>
                <w:spacing w:val="-4"/>
                <w:sz w:val="28"/>
                <w:szCs w:val="28"/>
                <w:lang w:val="uk-UA"/>
              </w:rPr>
            </w:pPr>
            <w:r>
              <w:rPr>
                <w:b/>
                <w:bCs/>
                <w:spacing w:val="-4"/>
                <w:sz w:val="28"/>
                <w:szCs w:val="28"/>
                <w:lang w:val="uk-UA"/>
              </w:rPr>
              <w:t>В</w:t>
            </w:r>
            <w:r w:rsidR="009721E7">
              <w:rPr>
                <w:b/>
                <w:bCs/>
                <w:spacing w:val="-4"/>
                <w:sz w:val="28"/>
                <w:szCs w:val="28"/>
                <w:lang w:val="uk-UA"/>
              </w:rPr>
              <w:t>ідсутня</w:t>
            </w:r>
            <w:r>
              <w:rPr>
                <w:b/>
                <w:bCs/>
                <w:spacing w:val="-4"/>
                <w:sz w:val="28"/>
                <w:szCs w:val="28"/>
                <w:lang w:val="uk-UA"/>
              </w:rPr>
              <w:t>.</w:t>
            </w:r>
          </w:p>
          <w:p w:rsidR="009721E7" w:rsidRDefault="009721E7" w:rsidP="009721E7">
            <w:pPr>
              <w:spacing w:after="16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Default="009721E7" w:rsidP="009721E7">
            <w:pPr>
              <w:spacing w:after="120"/>
              <w:ind w:firstLine="342"/>
              <w:jc w:val="center"/>
              <w:rPr>
                <w:b/>
                <w:bCs/>
                <w:spacing w:val="-4"/>
                <w:sz w:val="28"/>
                <w:szCs w:val="28"/>
                <w:lang w:val="uk-UA"/>
              </w:rPr>
            </w:pPr>
          </w:p>
          <w:p w:rsidR="009721E7" w:rsidRPr="00F0796B" w:rsidRDefault="009721E7" w:rsidP="009721E7">
            <w:pPr>
              <w:spacing w:after="120"/>
              <w:ind w:firstLine="342"/>
              <w:jc w:val="both"/>
              <w:rPr>
                <w:bCs/>
                <w:spacing w:val="-4"/>
                <w:sz w:val="28"/>
                <w:szCs w:val="28"/>
                <w:lang w:val="uk-UA"/>
              </w:rPr>
            </w:pPr>
          </w:p>
        </w:tc>
        <w:tc>
          <w:tcPr>
            <w:tcW w:w="7371" w:type="dxa"/>
            <w:tcBorders>
              <w:top w:val="single" w:sz="4" w:space="0" w:color="auto"/>
              <w:bottom w:val="single" w:sz="4" w:space="0" w:color="auto"/>
            </w:tcBorders>
          </w:tcPr>
          <w:p w:rsidR="001C76FE" w:rsidRPr="00BD08EF" w:rsidRDefault="001C76FE" w:rsidP="001C76FE">
            <w:pPr>
              <w:ind w:firstLine="491"/>
              <w:jc w:val="both"/>
              <w:rPr>
                <w:spacing w:val="-8"/>
                <w:position w:val="2"/>
                <w:sz w:val="28"/>
                <w:szCs w:val="28"/>
              </w:rPr>
            </w:pPr>
            <w:proofErr w:type="spellStart"/>
            <w:r w:rsidRPr="00BD08EF">
              <w:rPr>
                <w:spacing w:val="-8"/>
                <w:position w:val="2"/>
                <w:sz w:val="28"/>
                <w:szCs w:val="28"/>
              </w:rPr>
              <w:lastRenderedPageBreak/>
              <w:t>Стаття</w:t>
            </w:r>
            <w:proofErr w:type="spellEnd"/>
            <w:r w:rsidRPr="00BD08EF">
              <w:rPr>
                <w:spacing w:val="-8"/>
                <w:position w:val="2"/>
                <w:sz w:val="28"/>
                <w:szCs w:val="28"/>
              </w:rPr>
              <w:t xml:space="preserve"> 22</w:t>
            </w:r>
            <w:r w:rsidRPr="00BD08EF">
              <w:rPr>
                <w:spacing w:val="-8"/>
                <w:position w:val="2"/>
                <w:sz w:val="28"/>
                <w:szCs w:val="28"/>
                <w:lang w:val="uk-UA"/>
              </w:rPr>
              <w:t>3-3</w:t>
            </w:r>
            <w:r w:rsidRPr="00BD08EF">
              <w:rPr>
                <w:spacing w:val="-8"/>
                <w:position w:val="2"/>
                <w:sz w:val="28"/>
                <w:szCs w:val="28"/>
              </w:rPr>
              <w:t xml:space="preserve">. </w:t>
            </w:r>
            <w:proofErr w:type="spellStart"/>
            <w:r w:rsidRPr="00BD08EF">
              <w:rPr>
                <w:spacing w:val="-8"/>
                <w:position w:val="2"/>
                <w:sz w:val="28"/>
                <w:szCs w:val="28"/>
              </w:rPr>
              <w:t>Порушення</w:t>
            </w:r>
            <w:proofErr w:type="spellEnd"/>
            <w:r w:rsidRPr="00BD08EF">
              <w:rPr>
                <w:spacing w:val="-8"/>
                <w:position w:val="2"/>
                <w:sz w:val="28"/>
                <w:szCs w:val="28"/>
              </w:rPr>
              <w:t xml:space="preserve"> </w:t>
            </w:r>
            <w:proofErr w:type="spellStart"/>
            <w:r w:rsidRPr="00BD08EF">
              <w:rPr>
                <w:spacing w:val="-8"/>
                <w:position w:val="2"/>
                <w:sz w:val="28"/>
                <w:szCs w:val="28"/>
              </w:rPr>
              <w:t>інтересів</w:t>
            </w:r>
            <w:proofErr w:type="spellEnd"/>
            <w:r w:rsidRPr="00BD08EF">
              <w:rPr>
                <w:spacing w:val="-8"/>
                <w:position w:val="2"/>
                <w:sz w:val="28"/>
                <w:szCs w:val="28"/>
              </w:rPr>
              <w:t xml:space="preserve"> </w:t>
            </w:r>
            <w:proofErr w:type="spellStart"/>
            <w:r w:rsidRPr="00BD08EF">
              <w:rPr>
                <w:spacing w:val="-8"/>
                <w:position w:val="2"/>
                <w:sz w:val="28"/>
                <w:szCs w:val="28"/>
              </w:rPr>
              <w:t>учасників</w:t>
            </w:r>
            <w:proofErr w:type="spellEnd"/>
            <w:r w:rsidRPr="00BD08EF">
              <w:rPr>
                <w:spacing w:val="-8"/>
                <w:position w:val="2"/>
                <w:sz w:val="28"/>
                <w:szCs w:val="28"/>
              </w:rPr>
              <w:t xml:space="preserve"> Фонду </w:t>
            </w:r>
            <w:proofErr w:type="spellStart"/>
            <w:r w:rsidRPr="00BD08EF">
              <w:rPr>
                <w:spacing w:val="-8"/>
                <w:position w:val="2"/>
                <w:sz w:val="28"/>
                <w:szCs w:val="28"/>
              </w:rPr>
              <w:t>майбутніх</w:t>
            </w:r>
            <w:proofErr w:type="spellEnd"/>
            <w:r w:rsidRPr="00BD08EF">
              <w:rPr>
                <w:spacing w:val="-8"/>
                <w:position w:val="2"/>
                <w:sz w:val="28"/>
                <w:szCs w:val="28"/>
              </w:rPr>
              <w:t xml:space="preserve"> </w:t>
            </w:r>
            <w:proofErr w:type="spellStart"/>
            <w:r w:rsidRPr="00BD08EF">
              <w:rPr>
                <w:spacing w:val="-8"/>
                <w:position w:val="2"/>
                <w:sz w:val="28"/>
                <w:szCs w:val="28"/>
              </w:rPr>
              <w:t>поколінь</w:t>
            </w:r>
            <w:proofErr w:type="spellEnd"/>
          </w:p>
          <w:p w:rsidR="001C76FE" w:rsidRPr="00BD08EF" w:rsidRDefault="001C76FE" w:rsidP="001C76FE">
            <w:pPr>
              <w:spacing w:before="120"/>
              <w:ind w:firstLine="491"/>
              <w:jc w:val="both"/>
              <w:rPr>
                <w:spacing w:val="-8"/>
                <w:position w:val="2"/>
                <w:sz w:val="28"/>
                <w:szCs w:val="28"/>
                <w:lang w:val="uk-UA"/>
              </w:rPr>
            </w:pPr>
            <w:r w:rsidRPr="00BD08EF">
              <w:rPr>
                <w:spacing w:val="-8"/>
                <w:position w:val="2"/>
                <w:sz w:val="28"/>
                <w:szCs w:val="28"/>
              </w:rPr>
              <w:t xml:space="preserve">1. </w:t>
            </w:r>
            <w:proofErr w:type="spellStart"/>
            <w:r w:rsidRPr="00BD08EF">
              <w:rPr>
                <w:spacing w:val="-8"/>
                <w:position w:val="2"/>
                <w:sz w:val="28"/>
                <w:szCs w:val="28"/>
              </w:rPr>
              <w:t>Вчинення</w:t>
            </w:r>
            <w:proofErr w:type="spellEnd"/>
            <w:r w:rsidRPr="00BD08EF">
              <w:rPr>
                <w:spacing w:val="-8"/>
                <w:position w:val="2"/>
                <w:sz w:val="28"/>
                <w:szCs w:val="28"/>
              </w:rPr>
              <w:t xml:space="preserve"> </w:t>
            </w:r>
            <w:proofErr w:type="spellStart"/>
            <w:r w:rsidRPr="00BD08EF">
              <w:rPr>
                <w:spacing w:val="-8"/>
                <w:position w:val="2"/>
                <w:sz w:val="28"/>
                <w:szCs w:val="28"/>
              </w:rPr>
              <w:t>посадовими</w:t>
            </w:r>
            <w:proofErr w:type="spellEnd"/>
            <w:r w:rsidRPr="00BD08EF">
              <w:rPr>
                <w:spacing w:val="-8"/>
                <w:position w:val="2"/>
                <w:sz w:val="28"/>
                <w:szCs w:val="28"/>
              </w:rPr>
              <w:t xml:space="preserve"> особами </w:t>
            </w:r>
            <w:proofErr w:type="spellStart"/>
            <w:r w:rsidRPr="00BD08EF">
              <w:rPr>
                <w:spacing w:val="-8"/>
                <w:position w:val="2"/>
                <w:sz w:val="28"/>
                <w:szCs w:val="28"/>
              </w:rPr>
              <w:t>або</w:t>
            </w:r>
            <w:proofErr w:type="spellEnd"/>
            <w:r w:rsidRPr="00BD08EF">
              <w:rPr>
                <w:spacing w:val="-8"/>
                <w:position w:val="2"/>
                <w:sz w:val="28"/>
                <w:szCs w:val="28"/>
              </w:rPr>
              <w:t xml:space="preserve"> </w:t>
            </w:r>
            <w:proofErr w:type="spellStart"/>
            <w:r w:rsidRPr="00BD08EF">
              <w:rPr>
                <w:spacing w:val="-8"/>
                <w:position w:val="2"/>
                <w:sz w:val="28"/>
                <w:szCs w:val="28"/>
              </w:rPr>
              <w:t>заінтересованими</w:t>
            </w:r>
            <w:proofErr w:type="spellEnd"/>
            <w:r w:rsidRPr="00BD08EF">
              <w:rPr>
                <w:spacing w:val="-8"/>
                <w:position w:val="2"/>
                <w:sz w:val="28"/>
                <w:szCs w:val="28"/>
              </w:rPr>
              <w:t xml:space="preserve"> особами </w:t>
            </w:r>
            <w:proofErr w:type="spellStart"/>
            <w:r w:rsidRPr="00BD08EF">
              <w:rPr>
                <w:spacing w:val="-8"/>
                <w:position w:val="2"/>
                <w:sz w:val="28"/>
                <w:szCs w:val="28"/>
              </w:rPr>
              <w:t>компанії</w:t>
            </w:r>
            <w:proofErr w:type="spellEnd"/>
            <w:r w:rsidRPr="00BD08EF">
              <w:rPr>
                <w:spacing w:val="-8"/>
                <w:position w:val="2"/>
                <w:sz w:val="28"/>
                <w:szCs w:val="28"/>
              </w:rPr>
              <w:t xml:space="preserve"> з </w:t>
            </w:r>
            <w:proofErr w:type="spellStart"/>
            <w:r w:rsidRPr="00BD08EF">
              <w:rPr>
                <w:spacing w:val="-8"/>
                <w:position w:val="2"/>
                <w:sz w:val="28"/>
                <w:szCs w:val="28"/>
              </w:rPr>
              <w:t>управління</w:t>
            </w:r>
            <w:proofErr w:type="spellEnd"/>
            <w:r w:rsidRPr="00BD08EF">
              <w:rPr>
                <w:spacing w:val="-8"/>
                <w:position w:val="2"/>
                <w:sz w:val="28"/>
                <w:szCs w:val="28"/>
              </w:rPr>
              <w:t xml:space="preserve"> активами Фонду </w:t>
            </w:r>
            <w:proofErr w:type="spellStart"/>
            <w:r w:rsidRPr="00BD08EF">
              <w:rPr>
                <w:spacing w:val="-8"/>
                <w:position w:val="2"/>
                <w:sz w:val="28"/>
                <w:szCs w:val="28"/>
              </w:rPr>
              <w:t>майбутніх</w:t>
            </w:r>
            <w:proofErr w:type="spellEnd"/>
            <w:r w:rsidRPr="00BD08EF">
              <w:rPr>
                <w:spacing w:val="-8"/>
                <w:position w:val="2"/>
                <w:sz w:val="28"/>
                <w:szCs w:val="28"/>
              </w:rPr>
              <w:t xml:space="preserve"> </w:t>
            </w:r>
            <w:proofErr w:type="spellStart"/>
            <w:r w:rsidRPr="00BD08EF">
              <w:rPr>
                <w:spacing w:val="-8"/>
                <w:position w:val="2"/>
                <w:sz w:val="28"/>
                <w:szCs w:val="28"/>
              </w:rPr>
              <w:lastRenderedPageBreak/>
              <w:t>поколінь</w:t>
            </w:r>
            <w:proofErr w:type="spellEnd"/>
            <w:r w:rsidRPr="00BD08EF">
              <w:rPr>
                <w:spacing w:val="-8"/>
                <w:position w:val="2"/>
                <w:sz w:val="28"/>
                <w:szCs w:val="28"/>
              </w:rPr>
              <w:t xml:space="preserve"> </w:t>
            </w:r>
            <w:proofErr w:type="spellStart"/>
            <w:r w:rsidRPr="00BD08EF">
              <w:rPr>
                <w:spacing w:val="-8"/>
                <w:position w:val="2"/>
                <w:sz w:val="28"/>
                <w:szCs w:val="28"/>
              </w:rPr>
              <w:t>дій</w:t>
            </w:r>
            <w:proofErr w:type="spellEnd"/>
            <w:r w:rsidRPr="00BD08EF">
              <w:rPr>
                <w:spacing w:val="-8"/>
                <w:position w:val="2"/>
                <w:sz w:val="28"/>
                <w:szCs w:val="28"/>
              </w:rPr>
              <w:t xml:space="preserve">, </w:t>
            </w:r>
            <w:proofErr w:type="spellStart"/>
            <w:r w:rsidRPr="00BD08EF">
              <w:rPr>
                <w:spacing w:val="-8"/>
                <w:position w:val="2"/>
                <w:sz w:val="28"/>
                <w:szCs w:val="28"/>
              </w:rPr>
              <w:t>спрямованих</w:t>
            </w:r>
            <w:proofErr w:type="spellEnd"/>
            <w:r w:rsidRPr="00BD08EF">
              <w:rPr>
                <w:spacing w:val="-8"/>
                <w:position w:val="2"/>
                <w:sz w:val="28"/>
                <w:szCs w:val="28"/>
              </w:rPr>
              <w:t xml:space="preserve"> на </w:t>
            </w:r>
            <w:proofErr w:type="spellStart"/>
            <w:r w:rsidRPr="00BD08EF">
              <w:rPr>
                <w:spacing w:val="-8"/>
                <w:position w:val="2"/>
                <w:sz w:val="28"/>
                <w:szCs w:val="28"/>
              </w:rPr>
              <w:t>відчуження</w:t>
            </w:r>
            <w:proofErr w:type="spellEnd"/>
            <w:r w:rsidRPr="00BD08EF">
              <w:rPr>
                <w:spacing w:val="-8"/>
                <w:position w:val="2"/>
                <w:sz w:val="28"/>
                <w:szCs w:val="28"/>
              </w:rPr>
              <w:t xml:space="preserve"> </w:t>
            </w:r>
            <w:proofErr w:type="spellStart"/>
            <w:r w:rsidRPr="00BD08EF">
              <w:rPr>
                <w:spacing w:val="-8"/>
                <w:position w:val="2"/>
                <w:sz w:val="28"/>
                <w:szCs w:val="28"/>
              </w:rPr>
              <w:t>або</w:t>
            </w:r>
            <w:proofErr w:type="spellEnd"/>
            <w:r w:rsidRPr="00BD08EF">
              <w:rPr>
                <w:spacing w:val="-8"/>
                <w:position w:val="2"/>
                <w:sz w:val="28"/>
                <w:szCs w:val="28"/>
              </w:rPr>
              <w:t xml:space="preserve"> </w:t>
            </w:r>
            <w:proofErr w:type="spellStart"/>
            <w:r w:rsidRPr="00BD08EF">
              <w:rPr>
                <w:spacing w:val="-8"/>
                <w:position w:val="2"/>
                <w:sz w:val="28"/>
                <w:szCs w:val="28"/>
              </w:rPr>
              <w:t>придбання</w:t>
            </w:r>
            <w:proofErr w:type="spellEnd"/>
            <w:r w:rsidRPr="00BD08EF">
              <w:rPr>
                <w:spacing w:val="-8"/>
                <w:position w:val="2"/>
                <w:sz w:val="28"/>
                <w:szCs w:val="28"/>
              </w:rPr>
              <w:t xml:space="preserve"> </w:t>
            </w:r>
            <w:proofErr w:type="spellStart"/>
            <w:r w:rsidRPr="00BD08EF">
              <w:rPr>
                <w:spacing w:val="-8"/>
                <w:position w:val="2"/>
                <w:sz w:val="28"/>
                <w:szCs w:val="28"/>
              </w:rPr>
              <w:t>активів</w:t>
            </w:r>
            <w:proofErr w:type="spellEnd"/>
            <w:r w:rsidRPr="00BD08EF">
              <w:rPr>
                <w:spacing w:val="-8"/>
                <w:position w:val="2"/>
                <w:sz w:val="28"/>
                <w:szCs w:val="28"/>
              </w:rPr>
              <w:t xml:space="preserve"> Фонду </w:t>
            </w:r>
            <w:proofErr w:type="spellStart"/>
            <w:r w:rsidRPr="00BD08EF">
              <w:rPr>
                <w:spacing w:val="-8"/>
                <w:position w:val="2"/>
                <w:sz w:val="28"/>
                <w:szCs w:val="28"/>
              </w:rPr>
              <w:t>майбутніх</w:t>
            </w:r>
            <w:proofErr w:type="spellEnd"/>
            <w:r w:rsidRPr="00BD08EF">
              <w:rPr>
                <w:spacing w:val="-8"/>
                <w:position w:val="2"/>
                <w:sz w:val="28"/>
                <w:szCs w:val="28"/>
              </w:rPr>
              <w:t xml:space="preserve"> </w:t>
            </w:r>
            <w:proofErr w:type="spellStart"/>
            <w:r w:rsidRPr="00BD08EF">
              <w:rPr>
                <w:spacing w:val="-8"/>
                <w:position w:val="2"/>
                <w:sz w:val="28"/>
                <w:szCs w:val="28"/>
              </w:rPr>
              <w:t>поколінь</w:t>
            </w:r>
            <w:proofErr w:type="spellEnd"/>
            <w:r w:rsidRPr="00BD08EF">
              <w:rPr>
                <w:spacing w:val="-8"/>
                <w:position w:val="2"/>
                <w:sz w:val="28"/>
                <w:szCs w:val="28"/>
              </w:rPr>
              <w:t xml:space="preserve"> за </w:t>
            </w:r>
            <w:proofErr w:type="spellStart"/>
            <w:r w:rsidRPr="00BD08EF">
              <w:rPr>
                <w:spacing w:val="-8"/>
                <w:position w:val="2"/>
                <w:sz w:val="28"/>
                <w:szCs w:val="28"/>
              </w:rPr>
              <w:t>ціною</w:t>
            </w:r>
            <w:proofErr w:type="spellEnd"/>
            <w:r w:rsidRPr="00BD08EF">
              <w:rPr>
                <w:spacing w:val="-8"/>
                <w:position w:val="2"/>
                <w:sz w:val="28"/>
                <w:szCs w:val="28"/>
              </w:rPr>
              <w:t xml:space="preserve"> </w:t>
            </w:r>
            <w:proofErr w:type="spellStart"/>
            <w:r w:rsidRPr="00BD08EF">
              <w:rPr>
                <w:spacing w:val="-8"/>
                <w:position w:val="2"/>
                <w:sz w:val="28"/>
                <w:szCs w:val="28"/>
              </w:rPr>
              <w:t>іншою</w:t>
            </w:r>
            <w:proofErr w:type="spellEnd"/>
            <w:r w:rsidR="00F04FF8">
              <w:rPr>
                <w:spacing w:val="-8"/>
                <w:position w:val="2"/>
                <w:sz w:val="28"/>
                <w:szCs w:val="28"/>
                <w:lang w:val="uk-UA"/>
              </w:rPr>
              <w:t>,</w:t>
            </w:r>
            <w:r w:rsidRPr="00BD08EF">
              <w:rPr>
                <w:spacing w:val="-8"/>
                <w:position w:val="2"/>
                <w:sz w:val="28"/>
                <w:szCs w:val="28"/>
              </w:rPr>
              <w:t xml:space="preserve"> </w:t>
            </w:r>
            <w:proofErr w:type="spellStart"/>
            <w:r w:rsidRPr="00BD08EF">
              <w:rPr>
                <w:spacing w:val="-8"/>
                <w:position w:val="2"/>
                <w:sz w:val="28"/>
                <w:szCs w:val="28"/>
              </w:rPr>
              <w:t>ніж</w:t>
            </w:r>
            <w:proofErr w:type="spellEnd"/>
            <w:r w:rsidRPr="00BD08EF">
              <w:rPr>
                <w:spacing w:val="-8"/>
                <w:position w:val="2"/>
                <w:sz w:val="28"/>
                <w:szCs w:val="28"/>
              </w:rPr>
              <w:t xml:space="preserve"> </w:t>
            </w:r>
            <w:proofErr w:type="spellStart"/>
            <w:r w:rsidRPr="00BD08EF">
              <w:rPr>
                <w:spacing w:val="-8"/>
                <w:position w:val="2"/>
                <w:sz w:val="28"/>
                <w:szCs w:val="28"/>
              </w:rPr>
              <w:t>ринкова</w:t>
            </w:r>
            <w:proofErr w:type="spellEnd"/>
            <w:r w:rsidRPr="00BD08EF">
              <w:rPr>
                <w:spacing w:val="-8"/>
                <w:position w:val="2"/>
                <w:sz w:val="28"/>
                <w:szCs w:val="28"/>
              </w:rPr>
              <w:t xml:space="preserve">, </w:t>
            </w:r>
            <w:proofErr w:type="spellStart"/>
            <w:r w:rsidRPr="00BD08EF">
              <w:rPr>
                <w:spacing w:val="-8"/>
                <w:position w:val="2"/>
                <w:sz w:val="28"/>
                <w:szCs w:val="28"/>
              </w:rPr>
              <w:t>якщо</w:t>
            </w:r>
            <w:proofErr w:type="spellEnd"/>
            <w:r w:rsidRPr="00BD08EF">
              <w:rPr>
                <w:spacing w:val="-8"/>
                <w:position w:val="2"/>
                <w:sz w:val="28"/>
                <w:szCs w:val="28"/>
              </w:rPr>
              <w:t xml:space="preserve"> </w:t>
            </w:r>
            <w:proofErr w:type="spellStart"/>
            <w:r w:rsidRPr="00BD08EF">
              <w:rPr>
                <w:spacing w:val="-8"/>
                <w:position w:val="2"/>
                <w:sz w:val="28"/>
                <w:szCs w:val="28"/>
              </w:rPr>
              <w:t>це</w:t>
            </w:r>
            <w:proofErr w:type="spellEnd"/>
            <w:r w:rsidRPr="00BD08EF">
              <w:rPr>
                <w:spacing w:val="-8"/>
                <w:position w:val="2"/>
                <w:sz w:val="28"/>
                <w:szCs w:val="28"/>
              </w:rPr>
              <w:t xml:space="preserve"> </w:t>
            </w:r>
            <w:proofErr w:type="spellStart"/>
            <w:r w:rsidRPr="00BD08EF">
              <w:rPr>
                <w:spacing w:val="-8"/>
                <w:position w:val="2"/>
                <w:sz w:val="28"/>
                <w:szCs w:val="28"/>
              </w:rPr>
              <w:t>призвело</w:t>
            </w:r>
            <w:proofErr w:type="spellEnd"/>
            <w:r w:rsidRPr="00BD08EF">
              <w:rPr>
                <w:spacing w:val="-8"/>
                <w:position w:val="2"/>
                <w:sz w:val="28"/>
                <w:szCs w:val="28"/>
              </w:rPr>
              <w:t xml:space="preserve"> до </w:t>
            </w:r>
            <w:proofErr w:type="spellStart"/>
            <w:r w:rsidRPr="00BD08EF">
              <w:rPr>
                <w:spacing w:val="-8"/>
                <w:position w:val="2"/>
                <w:sz w:val="28"/>
                <w:szCs w:val="28"/>
              </w:rPr>
              <w:t>значних</w:t>
            </w:r>
            <w:proofErr w:type="spellEnd"/>
            <w:r w:rsidRPr="00BD08EF">
              <w:rPr>
                <w:spacing w:val="-8"/>
                <w:position w:val="2"/>
                <w:sz w:val="28"/>
                <w:szCs w:val="28"/>
              </w:rPr>
              <w:t xml:space="preserve"> </w:t>
            </w:r>
            <w:proofErr w:type="spellStart"/>
            <w:r w:rsidRPr="00BD08EF">
              <w:rPr>
                <w:spacing w:val="-8"/>
                <w:position w:val="2"/>
                <w:sz w:val="28"/>
                <w:szCs w:val="28"/>
              </w:rPr>
              <w:t>збитків</w:t>
            </w:r>
            <w:proofErr w:type="spellEnd"/>
            <w:r w:rsidRPr="00BD08EF">
              <w:rPr>
                <w:spacing w:val="-8"/>
                <w:position w:val="2"/>
                <w:sz w:val="28"/>
                <w:szCs w:val="28"/>
              </w:rPr>
              <w:t xml:space="preserve"> Фонду </w:t>
            </w:r>
            <w:proofErr w:type="spellStart"/>
            <w:r w:rsidRPr="00BD08EF">
              <w:rPr>
                <w:spacing w:val="-8"/>
                <w:position w:val="2"/>
                <w:sz w:val="28"/>
                <w:szCs w:val="28"/>
              </w:rPr>
              <w:t>майбутніх</w:t>
            </w:r>
            <w:proofErr w:type="spellEnd"/>
            <w:r w:rsidRPr="00BD08EF">
              <w:rPr>
                <w:spacing w:val="-8"/>
                <w:position w:val="2"/>
                <w:sz w:val="28"/>
                <w:szCs w:val="28"/>
              </w:rPr>
              <w:t xml:space="preserve"> </w:t>
            </w:r>
            <w:proofErr w:type="spellStart"/>
            <w:r w:rsidRPr="00BD08EF">
              <w:rPr>
                <w:spacing w:val="-8"/>
                <w:position w:val="2"/>
                <w:sz w:val="28"/>
                <w:szCs w:val="28"/>
              </w:rPr>
              <w:t>поколінь</w:t>
            </w:r>
            <w:proofErr w:type="spellEnd"/>
            <w:r w:rsidRPr="00BD08EF">
              <w:rPr>
                <w:spacing w:val="-8"/>
                <w:position w:val="2"/>
                <w:sz w:val="28"/>
                <w:szCs w:val="28"/>
              </w:rPr>
              <w:t xml:space="preserve"> та/</w:t>
            </w:r>
            <w:proofErr w:type="spellStart"/>
            <w:r w:rsidRPr="00BD08EF">
              <w:rPr>
                <w:spacing w:val="-8"/>
                <w:position w:val="2"/>
                <w:sz w:val="28"/>
                <w:szCs w:val="28"/>
              </w:rPr>
              <w:t>або</w:t>
            </w:r>
            <w:proofErr w:type="spellEnd"/>
            <w:r w:rsidRPr="00BD08EF">
              <w:rPr>
                <w:spacing w:val="-8"/>
                <w:position w:val="2"/>
                <w:sz w:val="28"/>
                <w:szCs w:val="28"/>
              </w:rPr>
              <w:t xml:space="preserve"> </w:t>
            </w:r>
            <w:proofErr w:type="spellStart"/>
            <w:r w:rsidRPr="00BD08EF">
              <w:rPr>
                <w:spacing w:val="-8"/>
                <w:position w:val="2"/>
                <w:sz w:val="28"/>
                <w:szCs w:val="28"/>
              </w:rPr>
              <w:t>учасників</w:t>
            </w:r>
            <w:proofErr w:type="spellEnd"/>
            <w:r w:rsidRPr="00BD08EF">
              <w:rPr>
                <w:spacing w:val="-8"/>
                <w:position w:val="2"/>
                <w:sz w:val="28"/>
                <w:szCs w:val="28"/>
              </w:rPr>
              <w:t xml:space="preserve"> Фонду </w:t>
            </w:r>
            <w:proofErr w:type="spellStart"/>
            <w:r w:rsidRPr="00BD08EF">
              <w:rPr>
                <w:spacing w:val="-8"/>
                <w:position w:val="2"/>
                <w:sz w:val="28"/>
                <w:szCs w:val="28"/>
              </w:rPr>
              <w:t>майбутніх</w:t>
            </w:r>
            <w:proofErr w:type="spellEnd"/>
            <w:r w:rsidRPr="00BD08EF">
              <w:rPr>
                <w:spacing w:val="-8"/>
                <w:position w:val="2"/>
                <w:sz w:val="28"/>
                <w:szCs w:val="28"/>
              </w:rPr>
              <w:t xml:space="preserve"> </w:t>
            </w:r>
            <w:proofErr w:type="spellStart"/>
            <w:r w:rsidRPr="00BD08EF">
              <w:rPr>
                <w:spacing w:val="-8"/>
                <w:position w:val="2"/>
                <w:sz w:val="28"/>
                <w:szCs w:val="28"/>
              </w:rPr>
              <w:t>поколінь</w:t>
            </w:r>
            <w:proofErr w:type="spellEnd"/>
            <w:r w:rsidRPr="00BD08EF">
              <w:rPr>
                <w:spacing w:val="-8"/>
                <w:position w:val="2"/>
                <w:sz w:val="28"/>
                <w:szCs w:val="28"/>
              </w:rPr>
              <w:t xml:space="preserve">, </w:t>
            </w:r>
            <w:r w:rsidRPr="00BD08EF">
              <w:rPr>
                <w:spacing w:val="-8"/>
                <w:position w:val="2"/>
                <w:sz w:val="28"/>
                <w:szCs w:val="28"/>
                <w:lang w:val="uk-UA"/>
              </w:rPr>
              <w:t>–</w:t>
            </w:r>
          </w:p>
          <w:p w:rsidR="001C76FE" w:rsidRPr="00BD08EF" w:rsidRDefault="001C76FE" w:rsidP="001C76FE">
            <w:pPr>
              <w:spacing w:before="120"/>
              <w:ind w:firstLine="491"/>
              <w:jc w:val="both"/>
              <w:rPr>
                <w:spacing w:val="-8"/>
                <w:position w:val="2"/>
                <w:sz w:val="28"/>
                <w:szCs w:val="28"/>
                <w:lang w:val="uk-UA"/>
              </w:rPr>
            </w:pPr>
            <w:r w:rsidRPr="00BD08EF">
              <w:rPr>
                <w:spacing w:val="-8"/>
                <w:position w:val="2"/>
                <w:sz w:val="28"/>
                <w:szCs w:val="28"/>
                <w:lang w:val="uk-UA"/>
              </w:rPr>
              <w:t>карається штрафом від трьох тисяч до п'яти тисяч неоподатковуваних мінімумів доходів громадян з позбавленням права обіймати певні посади або займатися певною діяльністю на строк до трьох років</w:t>
            </w:r>
            <w:r w:rsidR="00F04FF8">
              <w:rPr>
                <w:spacing w:val="-8"/>
                <w:position w:val="2"/>
                <w:sz w:val="28"/>
                <w:szCs w:val="28"/>
                <w:lang w:val="uk-UA"/>
              </w:rPr>
              <w:t>,</w:t>
            </w:r>
            <w:r w:rsidRPr="00BD08EF">
              <w:rPr>
                <w:spacing w:val="-8"/>
                <w:position w:val="2"/>
                <w:sz w:val="28"/>
                <w:szCs w:val="28"/>
                <w:lang w:val="uk-UA"/>
              </w:rPr>
              <w:t xml:space="preserve"> або без такого.</w:t>
            </w:r>
          </w:p>
          <w:p w:rsidR="001C76FE" w:rsidRPr="00BD08EF" w:rsidRDefault="001C76FE" w:rsidP="001C76FE">
            <w:pPr>
              <w:spacing w:before="120"/>
              <w:ind w:firstLine="491"/>
              <w:jc w:val="both"/>
              <w:rPr>
                <w:spacing w:val="-8"/>
                <w:position w:val="2"/>
                <w:sz w:val="28"/>
                <w:szCs w:val="28"/>
                <w:lang w:val="uk-UA"/>
              </w:rPr>
            </w:pPr>
            <w:r w:rsidRPr="00BD08EF">
              <w:rPr>
                <w:spacing w:val="-8"/>
                <w:position w:val="2"/>
                <w:sz w:val="28"/>
                <w:szCs w:val="28"/>
                <w:lang w:val="uk-UA"/>
              </w:rPr>
              <w:t>2. Дії, передбачені частиною першою цієї статті, вчинені повторно або за попередньою змовою групою осіб, або якщо такі дії спричинили збитки у великих розмірах, –</w:t>
            </w:r>
          </w:p>
          <w:p w:rsidR="001C76FE" w:rsidRPr="00BD08EF" w:rsidRDefault="001C76FE" w:rsidP="001C76FE">
            <w:pPr>
              <w:spacing w:before="120"/>
              <w:ind w:firstLine="491"/>
              <w:jc w:val="both"/>
              <w:rPr>
                <w:spacing w:val="-8"/>
                <w:position w:val="2"/>
                <w:sz w:val="28"/>
                <w:szCs w:val="28"/>
                <w:lang w:val="uk-UA"/>
              </w:rPr>
            </w:pPr>
            <w:r w:rsidRPr="00BD08EF">
              <w:rPr>
                <w:spacing w:val="-8"/>
                <w:position w:val="2"/>
                <w:sz w:val="28"/>
                <w:szCs w:val="28"/>
                <w:lang w:val="uk-UA"/>
              </w:rPr>
              <w:t>караються штрафом від п'яти тисяч до восьми тисяч неоподатковуваних мінімумів доходів громадян з позбавленням права обіймати певні посади або займатися певною діяльністю на строк до трьох років</w:t>
            </w:r>
            <w:r w:rsidR="00F04FF8">
              <w:rPr>
                <w:spacing w:val="-8"/>
                <w:position w:val="2"/>
                <w:sz w:val="28"/>
                <w:szCs w:val="28"/>
                <w:lang w:val="uk-UA"/>
              </w:rPr>
              <w:t>,</w:t>
            </w:r>
            <w:r w:rsidRPr="00BD08EF">
              <w:rPr>
                <w:spacing w:val="-8"/>
                <w:position w:val="2"/>
                <w:sz w:val="28"/>
                <w:szCs w:val="28"/>
                <w:lang w:val="uk-UA"/>
              </w:rPr>
              <w:t xml:space="preserve"> або без такого.</w:t>
            </w:r>
          </w:p>
          <w:p w:rsidR="001C76FE" w:rsidRPr="00BD08EF" w:rsidRDefault="001C76FE" w:rsidP="001C76FE">
            <w:pPr>
              <w:spacing w:before="120"/>
              <w:ind w:firstLine="491"/>
              <w:jc w:val="both"/>
              <w:rPr>
                <w:spacing w:val="-8"/>
                <w:position w:val="2"/>
                <w:sz w:val="28"/>
                <w:szCs w:val="28"/>
                <w:lang w:val="uk-UA"/>
              </w:rPr>
            </w:pPr>
            <w:r w:rsidRPr="00BD08EF">
              <w:rPr>
                <w:spacing w:val="-8"/>
                <w:position w:val="2"/>
                <w:sz w:val="28"/>
                <w:szCs w:val="28"/>
                <w:lang w:val="uk-UA"/>
              </w:rPr>
              <w:t>3. Дії, передбачені частинами першою або другою цієї статті, якщо вони вчинені організованою групою, –</w:t>
            </w:r>
          </w:p>
          <w:p w:rsidR="001C76FE" w:rsidRPr="00BD08EF" w:rsidRDefault="001C76FE" w:rsidP="001C76FE">
            <w:pPr>
              <w:spacing w:before="120"/>
              <w:ind w:firstLine="491"/>
              <w:jc w:val="both"/>
              <w:rPr>
                <w:spacing w:val="-8"/>
                <w:position w:val="2"/>
                <w:sz w:val="28"/>
                <w:szCs w:val="28"/>
                <w:lang w:val="uk-UA"/>
              </w:rPr>
            </w:pPr>
            <w:r w:rsidRPr="00BD08EF">
              <w:rPr>
                <w:spacing w:val="-8"/>
                <w:position w:val="2"/>
                <w:sz w:val="28"/>
                <w:szCs w:val="28"/>
                <w:lang w:val="uk-UA"/>
              </w:rPr>
              <w:t>караються штрафом від восьми тисяч до десяти тисяч неоподатковуваних мінімумів доходів громадян з позбавленням права обіймати певні посади або займатися певною діяльністю на строк до трьох років.</w:t>
            </w:r>
          </w:p>
          <w:p w:rsidR="001C76FE" w:rsidRPr="00BD08EF" w:rsidRDefault="001C76FE" w:rsidP="001C76FE">
            <w:pPr>
              <w:spacing w:before="120"/>
              <w:ind w:firstLine="491"/>
              <w:jc w:val="both"/>
              <w:rPr>
                <w:spacing w:val="-8"/>
                <w:position w:val="2"/>
                <w:sz w:val="28"/>
                <w:szCs w:val="28"/>
                <w:lang w:val="uk-UA"/>
              </w:rPr>
            </w:pPr>
            <w:r w:rsidRPr="00BD08EF">
              <w:rPr>
                <w:spacing w:val="-8"/>
                <w:position w:val="2"/>
                <w:sz w:val="28"/>
                <w:szCs w:val="28"/>
                <w:lang w:val="uk-UA"/>
              </w:rPr>
              <w:t>Примітка: 1. Значним</w:t>
            </w:r>
            <w:r w:rsidR="002677B2">
              <w:rPr>
                <w:spacing w:val="-8"/>
                <w:position w:val="2"/>
                <w:sz w:val="28"/>
                <w:szCs w:val="28"/>
                <w:lang w:val="uk-UA"/>
              </w:rPr>
              <w:t>и збитка</w:t>
            </w:r>
            <w:r w:rsidRPr="00BD08EF">
              <w:rPr>
                <w:spacing w:val="-8"/>
                <w:position w:val="2"/>
                <w:sz w:val="28"/>
                <w:szCs w:val="28"/>
                <w:lang w:val="uk-UA"/>
              </w:rPr>
              <w:t>м</w:t>
            </w:r>
            <w:r w:rsidR="002677B2">
              <w:rPr>
                <w:spacing w:val="-8"/>
                <w:position w:val="2"/>
                <w:sz w:val="28"/>
                <w:szCs w:val="28"/>
                <w:lang w:val="uk-UA"/>
              </w:rPr>
              <w:t>и у цій статті вважаються збит</w:t>
            </w:r>
            <w:r w:rsidRPr="00BD08EF">
              <w:rPr>
                <w:spacing w:val="-8"/>
                <w:position w:val="2"/>
                <w:sz w:val="28"/>
                <w:szCs w:val="28"/>
                <w:lang w:val="uk-UA"/>
              </w:rPr>
              <w:t>к</w:t>
            </w:r>
            <w:r w:rsidR="002677B2">
              <w:rPr>
                <w:spacing w:val="-8"/>
                <w:position w:val="2"/>
                <w:sz w:val="28"/>
                <w:szCs w:val="28"/>
                <w:lang w:val="uk-UA"/>
              </w:rPr>
              <w:t>и, які</w:t>
            </w:r>
            <w:r w:rsidRPr="00BD08EF">
              <w:rPr>
                <w:spacing w:val="-8"/>
                <w:position w:val="2"/>
                <w:sz w:val="28"/>
                <w:szCs w:val="28"/>
                <w:lang w:val="uk-UA"/>
              </w:rPr>
              <w:t xml:space="preserve"> у ти</w:t>
            </w:r>
            <w:r w:rsidR="002677B2">
              <w:rPr>
                <w:spacing w:val="-8"/>
                <w:position w:val="2"/>
                <w:sz w:val="28"/>
                <w:szCs w:val="28"/>
                <w:lang w:val="uk-UA"/>
              </w:rPr>
              <w:t>сячу і більше разів перевищують</w:t>
            </w:r>
            <w:r w:rsidRPr="00BD08EF">
              <w:rPr>
                <w:spacing w:val="-8"/>
                <w:position w:val="2"/>
                <w:sz w:val="28"/>
                <w:szCs w:val="28"/>
                <w:lang w:val="uk-UA"/>
              </w:rPr>
              <w:t xml:space="preserve"> неоподатковуваний мінімум доходів громадян.</w:t>
            </w:r>
          </w:p>
          <w:p w:rsidR="001C76FE" w:rsidRPr="00BD08EF" w:rsidRDefault="001C76FE" w:rsidP="001C76FE">
            <w:pPr>
              <w:spacing w:before="120"/>
              <w:ind w:firstLine="491"/>
              <w:jc w:val="both"/>
              <w:rPr>
                <w:spacing w:val="-8"/>
                <w:position w:val="2"/>
                <w:sz w:val="28"/>
                <w:szCs w:val="28"/>
                <w:lang w:val="uk-UA"/>
              </w:rPr>
            </w:pPr>
            <w:r w:rsidRPr="00BD08EF">
              <w:rPr>
                <w:spacing w:val="-8"/>
                <w:position w:val="2"/>
                <w:sz w:val="28"/>
                <w:szCs w:val="28"/>
              </w:rPr>
              <w:lastRenderedPageBreak/>
              <w:t xml:space="preserve">2. </w:t>
            </w:r>
            <w:proofErr w:type="spellStart"/>
            <w:r w:rsidRPr="00BD08EF">
              <w:rPr>
                <w:spacing w:val="-8"/>
                <w:position w:val="2"/>
                <w:sz w:val="28"/>
                <w:szCs w:val="28"/>
              </w:rPr>
              <w:t>Збитк</w:t>
            </w:r>
            <w:r w:rsidR="002677B2">
              <w:rPr>
                <w:spacing w:val="-8"/>
                <w:position w:val="2"/>
                <w:sz w:val="28"/>
                <w:szCs w:val="28"/>
                <w:lang w:val="uk-UA"/>
              </w:rPr>
              <w:t>ам</w:t>
            </w:r>
            <w:proofErr w:type="spellEnd"/>
            <w:r w:rsidRPr="00BD08EF">
              <w:rPr>
                <w:spacing w:val="-8"/>
                <w:position w:val="2"/>
                <w:sz w:val="28"/>
                <w:szCs w:val="28"/>
              </w:rPr>
              <w:t xml:space="preserve">и у великих </w:t>
            </w:r>
            <w:proofErr w:type="spellStart"/>
            <w:r w:rsidRPr="00BD08EF">
              <w:rPr>
                <w:spacing w:val="-8"/>
                <w:position w:val="2"/>
                <w:sz w:val="28"/>
                <w:szCs w:val="28"/>
              </w:rPr>
              <w:t>розмірах</w:t>
            </w:r>
            <w:proofErr w:type="spellEnd"/>
            <w:r w:rsidRPr="00BD08EF">
              <w:rPr>
                <w:spacing w:val="-8"/>
                <w:position w:val="2"/>
                <w:sz w:val="28"/>
                <w:szCs w:val="28"/>
              </w:rPr>
              <w:t xml:space="preserve"> у </w:t>
            </w:r>
            <w:proofErr w:type="spellStart"/>
            <w:r w:rsidRPr="00BD08EF">
              <w:rPr>
                <w:spacing w:val="-8"/>
                <w:position w:val="2"/>
                <w:sz w:val="28"/>
                <w:szCs w:val="28"/>
              </w:rPr>
              <w:t>цій</w:t>
            </w:r>
            <w:proofErr w:type="spellEnd"/>
            <w:r w:rsidRPr="00BD08EF">
              <w:rPr>
                <w:spacing w:val="-8"/>
                <w:position w:val="2"/>
                <w:sz w:val="28"/>
                <w:szCs w:val="28"/>
              </w:rPr>
              <w:t xml:space="preserve"> </w:t>
            </w:r>
            <w:proofErr w:type="spellStart"/>
            <w:r w:rsidRPr="00BD08EF">
              <w:rPr>
                <w:spacing w:val="-8"/>
                <w:position w:val="2"/>
                <w:sz w:val="28"/>
                <w:szCs w:val="28"/>
              </w:rPr>
              <w:t>статті</w:t>
            </w:r>
            <w:proofErr w:type="spellEnd"/>
            <w:r w:rsidRPr="00BD08EF">
              <w:rPr>
                <w:spacing w:val="-8"/>
                <w:position w:val="2"/>
                <w:sz w:val="28"/>
                <w:szCs w:val="28"/>
              </w:rPr>
              <w:t xml:space="preserve"> </w:t>
            </w:r>
            <w:proofErr w:type="spellStart"/>
            <w:r w:rsidRPr="00BD08EF">
              <w:rPr>
                <w:spacing w:val="-8"/>
                <w:position w:val="2"/>
                <w:sz w:val="28"/>
                <w:szCs w:val="28"/>
              </w:rPr>
              <w:t>вважаються</w:t>
            </w:r>
            <w:proofErr w:type="spellEnd"/>
            <w:r w:rsidRPr="00BD08EF">
              <w:rPr>
                <w:spacing w:val="-8"/>
                <w:position w:val="2"/>
                <w:sz w:val="28"/>
                <w:szCs w:val="28"/>
              </w:rPr>
              <w:t xml:space="preserve"> </w:t>
            </w:r>
            <w:r w:rsidRPr="00BD08EF">
              <w:rPr>
                <w:spacing w:val="-8"/>
                <w:position w:val="2"/>
                <w:sz w:val="28"/>
                <w:szCs w:val="28"/>
                <w:lang w:val="uk-UA"/>
              </w:rPr>
              <w:t>збитки</w:t>
            </w:r>
            <w:r w:rsidRPr="00BD08EF">
              <w:rPr>
                <w:spacing w:val="-8"/>
                <w:position w:val="2"/>
                <w:sz w:val="28"/>
                <w:szCs w:val="28"/>
              </w:rPr>
              <w:t xml:space="preserve">, </w:t>
            </w:r>
            <w:proofErr w:type="spellStart"/>
            <w:r w:rsidRPr="00BD08EF">
              <w:rPr>
                <w:spacing w:val="-8"/>
                <w:position w:val="2"/>
                <w:sz w:val="28"/>
                <w:szCs w:val="28"/>
              </w:rPr>
              <w:t>які</w:t>
            </w:r>
            <w:proofErr w:type="spellEnd"/>
            <w:r w:rsidRPr="00BD08EF">
              <w:rPr>
                <w:spacing w:val="-8"/>
                <w:position w:val="2"/>
                <w:sz w:val="28"/>
                <w:szCs w:val="28"/>
              </w:rPr>
              <w:t xml:space="preserve"> в три </w:t>
            </w:r>
            <w:proofErr w:type="spellStart"/>
            <w:r w:rsidRPr="00BD08EF">
              <w:rPr>
                <w:spacing w:val="-8"/>
                <w:position w:val="2"/>
                <w:sz w:val="28"/>
                <w:szCs w:val="28"/>
              </w:rPr>
              <w:t>тисячі</w:t>
            </w:r>
            <w:proofErr w:type="spellEnd"/>
            <w:r w:rsidRPr="00BD08EF">
              <w:rPr>
                <w:spacing w:val="-8"/>
                <w:position w:val="2"/>
                <w:sz w:val="28"/>
                <w:szCs w:val="28"/>
              </w:rPr>
              <w:t xml:space="preserve"> і </w:t>
            </w:r>
            <w:proofErr w:type="spellStart"/>
            <w:r w:rsidRPr="00BD08EF">
              <w:rPr>
                <w:spacing w:val="-8"/>
                <w:position w:val="2"/>
                <w:sz w:val="28"/>
                <w:szCs w:val="28"/>
              </w:rPr>
              <w:t>більше</w:t>
            </w:r>
            <w:proofErr w:type="spellEnd"/>
            <w:r w:rsidRPr="00BD08EF">
              <w:rPr>
                <w:spacing w:val="-8"/>
                <w:position w:val="2"/>
                <w:sz w:val="28"/>
                <w:szCs w:val="28"/>
              </w:rPr>
              <w:t xml:space="preserve"> </w:t>
            </w:r>
            <w:proofErr w:type="spellStart"/>
            <w:r w:rsidRPr="00BD08EF">
              <w:rPr>
                <w:spacing w:val="-8"/>
                <w:position w:val="2"/>
                <w:sz w:val="28"/>
                <w:szCs w:val="28"/>
              </w:rPr>
              <w:t>разів</w:t>
            </w:r>
            <w:proofErr w:type="spellEnd"/>
            <w:r w:rsidRPr="00BD08EF">
              <w:rPr>
                <w:spacing w:val="-8"/>
                <w:position w:val="2"/>
                <w:sz w:val="28"/>
                <w:szCs w:val="28"/>
              </w:rPr>
              <w:t xml:space="preserve"> </w:t>
            </w:r>
            <w:proofErr w:type="spellStart"/>
            <w:r w:rsidRPr="00BD08EF">
              <w:rPr>
                <w:spacing w:val="-8"/>
                <w:position w:val="2"/>
                <w:sz w:val="28"/>
                <w:szCs w:val="28"/>
              </w:rPr>
              <w:t>перевищують</w:t>
            </w:r>
            <w:proofErr w:type="spellEnd"/>
            <w:r w:rsidRPr="00BD08EF">
              <w:rPr>
                <w:spacing w:val="-8"/>
                <w:position w:val="2"/>
                <w:sz w:val="28"/>
                <w:szCs w:val="28"/>
              </w:rPr>
              <w:t xml:space="preserve"> </w:t>
            </w:r>
            <w:proofErr w:type="spellStart"/>
            <w:r w:rsidRPr="00BD08EF">
              <w:rPr>
                <w:spacing w:val="-8"/>
                <w:position w:val="2"/>
                <w:sz w:val="28"/>
                <w:szCs w:val="28"/>
              </w:rPr>
              <w:t>неоподатковуваний</w:t>
            </w:r>
            <w:proofErr w:type="spellEnd"/>
            <w:r w:rsidRPr="00BD08EF">
              <w:rPr>
                <w:spacing w:val="-8"/>
                <w:position w:val="2"/>
                <w:sz w:val="28"/>
                <w:szCs w:val="28"/>
              </w:rPr>
              <w:t xml:space="preserve"> </w:t>
            </w:r>
            <w:proofErr w:type="spellStart"/>
            <w:r w:rsidRPr="00BD08EF">
              <w:rPr>
                <w:spacing w:val="-8"/>
                <w:position w:val="2"/>
                <w:sz w:val="28"/>
                <w:szCs w:val="28"/>
              </w:rPr>
              <w:t>мінімум</w:t>
            </w:r>
            <w:proofErr w:type="spellEnd"/>
            <w:r w:rsidRPr="00BD08EF">
              <w:rPr>
                <w:spacing w:val="-8"/>
                <w:position w:val="2"/>
                <w:sz w:val="28"/>
                <w:szCs w:val="28"/>
              </w:rPr>
              <w:t xml:space="preserve"> </w:t>
            </w:r>
            <w:proofErr w:type="spellStart"/>
            <w:r w:rsidRPr="00BD08EF">
              <w:rPr>
                <w:spacing w:val="-8"/>
                <w:position w:val="2"/>
                <w:sz w:val="28"/>
                <w:szCs w:val="28"/>
              </w:rPr>
              <w:t>доходів</w:t>
            </w:r>
            <w:proofErr w:type="spellEnd"/>
            <w:r w:rsidRPr="00BD08EF">
              <w:rPr>
                <w:spacing w:val="-8"/>
                <w:position w:val="2"/>
                <w:sz w:val="28"/>
                <w:szCs w:val="28"/>
              </w:rPr>
              <w:t xml:space="preserve"> </w:t>
            </w:r>
            <w:proofErr w:type="spellStart"/>
            <w:r w:rsidRPr="00BD08EF">
              <w:rPr>
                <w:spacing w:val="-8"/>
                <w:position w:val="2"/>
                <w:sz w:val="28"/>
                <w:szCs w:val="28"/>
              </w:rPr>
              <w:t>громадян</w:t>
            </w:r>
            <w:proofErr w:type="spellEnd"/>
            <w:r w:rsidRPr="00BD08EF">
              <w:rPr>
                <w:spacing w:val="-8"/>
                <w:position w:val="2"/>
                <w:sz w:val="28"/>
                <w:szCs w:val="28"/>
              </w:rPr>
              <w:t>.</w:t>
            </w:r>
          </w:p>
          <w:p w:rsidR="009721E7" w:rsidRPr="00EB3747" w:rsidRDefault="001C76FE" w:rsidP="00F04FF8">
            <w:pPr>
              <w:spacing w:after="120"/>
              <w:ind w:firstLine="491"/>
              <w:jc w:val="both"/>
              <w:rPr>
                <w:bCs/>
                <w:spacing w:val="-4"/>
                <w:sz w:val="28"/>
                <w:szCs w:val="28"/>
                <w:lang w:val="uk-UA"/>
              </w:rPr>
            </w:pPr>
            <w:r w:rsidRPr="00BD08EF">
              <w:rPr>
                <w:spacing w:val="-8"/>
                <w:position w:val="2"/>
                <w:sz w:val="28"/>
                <w:szCs w:val="28"/>
              </w:rPr>
              <w:t xml:space="preserve">3. </w:t>
            </w:r>
            <w:proofErr w:type="spellStart"/>
            <w:r w:rsidRPr="00BD08EF">
              <w:rPr>
                <w:spacing w:val="-8"/>
                <w:position w:val="2"/>
                <w:sz w:val="28"/>
                <w:szCs w:val="28"/>
              </w:rPr>
              <w:t>Терміни</w:t>
            </w:r>
            <w:proofErr w:type="spellEnd"/>
            <w:r w:rsidRPr="00BD08EF">
              <w:rPr>
                <w:spacing w:val="-8"/>
                <w:position w:val="2"/>
                <w:sz w:val="28"/>
                <w:szCs w:val="28"/>
              </w:rPr>
              <w:t xml:space="preserve"> "</w:t>
            </w:r>
            <w:proofErr w:type="spellStart"/>
            <w:r w:rsidRPr="00BD08EF">
              <w:rPr>
                <w:spacing w:val="-8"/>
                <w:position w:val="2"/>
                <w:sz w:val="28"/>
                <w:szCs w:val="28"/>
              </w:rPr>
              <w:t>заінтересована</w:t>
            </w:r>
            <w:proofErr w:type="spellEnd"/>
            <w:r w:rsidRPr="00BD08EF">
              <w:rPr>
                <w:spacing w:val="-8"/>
                <w:position w:val="2"/>
                <w:sz w:val="28"/>
                <w:szCs w:val="28"/>
              </w:rPr>
              <w:t xml:space="preserve"> особа", "</w:t>
            </w:r>
            <w:proofErr w:type="spellStart"/>
            <w:r w:rsidRPr="00BD08EF">
              <w:rPr>
                <w:spacing w:val="-8"/>
                <w:position w:val="2"/>
                <w:sz w:val="28"/>
                <w:szCs w:val="28"/>
              </w:rPr>
              <w:t>компанія</w:t>
            </w:r>
            <w:proofErr w:type="spellEnd"/>
            <w:r w:rsidRPr="00BD08EF">
              <w:rPr>
                <w:spacing w:val="-8"/>
                <w:position w:val="2"/>
                <w:sz w:val="28"/>
                <w:szCs w:val="28"/>
              </w:rPr>
              <w:t xml:space="preserve"> з </w:t>
            </w:r>
            <w:proofErr w:type="spellStart"/>
            <w:r w:rsidRPr="00BD08EF">
              <w:rPr>
                <w:spacing w:val="-8"/>
                <w:position w:val="2"/>
                <w:sz w:val="28"/>
                <w:szCs w:val="28"/>
              </w:rPr>
              <w:t>управління</w:t>
            </w:r>
            <w:proofErr w:type="spellEnd"/>
            <w:r w:rsidRPr="00BD08EF">
              <w:rPr>
                <w:spacing w:val="-8"/>
                <w:position w:val="2"/>
                <w:sz w:val="28"/>
                <w:szCs w:val="28"/>
              </w:rPr>
              <w:t xml:space="preserve"> активами Фонду ", "</w:t>
            </w:r>
            <w:proofErr w:type="spellStart"/>
            <w:r w:rsidRPr="00BD08EF">
              <w:rPr>
                <w:spacing w:val="-8"/>
                <w:position w:val="2"/>
                <w:sz w:val="28"/>
                <w:szCs w:val="28"/>
              </w:rPr>
              <w:t>активи</w:t>
            </w:r>
            <w:proofErr w:type="spellEnd"/>
            <w:r w:rsidRPr="00BD08EF">
              <w:rPr>
                <w:spacing w:val="-8"/>
                <w:position w:val="2"/>
                <w:sz w:val="28"/>
                <w:szCs w:val="28"/>
              </w:rPr>
              <w:t xml:space="preserve"> Фонду", "Фонд </w:t>
            </w:r>
            <w:proofErr w:type="spellStart"/>
            <w:r w:rsidRPr="00BD08EF">
              <w:rPr>
                <w:spacing w:val="-8"/>
                <w:position w:val="2"/>
                <w:sz w:val="28"/>
                <w:szCs w:val="28"/>
              </w:rPr>
              <w:t>майбутніх</w:t>
            </w:r>
            <w:proofErr w:type="spellEnd"/>
            <w:r w:rsidRPr="00BD08EF">
              <w:rPr>
                <w:spacing w:val="-8"/>
                <w:position w:val="2"/>
                <w:sz w:val="28"/>
                <w:szCs w:val="28"/>
              </w:rPr>
              <w:t xml:space="preserve"> </w:t>
            </w:r>
            <w:proofErr w:type="spellStart"/>
            <w:r w:rsidRPr="00BD08EF">
              <w:rPr>
                <w:spacing w:val="-8"/>
                <w:position w:val="2"/>
                <w:sz w:val="28"/>
                <w:szCs w:val="28"/>
              </w:rPr>
              <w:t>поколінь</w:t>
            </w:r>
            <w:proofErr w:type="spellEnd"/>
            <w:r w:rsidRPr="00BD08EF">
              <w:rPr>
                <w:spacing w:val="-8"/>
                <w:position w:val="2"/>
                <w:sz w:val="28"/>
                <w:szCs w:val="28"/>
              </w:rPr>
              <w:t>" та "</w:t>
            </w:r>
            <w:proofErr w:type="spellStart"/>
            <w:r w:rsidRPr="00BD08EF">
              <w:rPr>
                <w:spacing w:val="-8"/>
                <w:position w:val="2"/>
                <w:sz w:val="28"/>
                <w:szCs w:val="28"/>
              </w:rPr>
              <w:t>учасн</w:t>
            </w:r>
            <w:r w:rsidR="00F04FF8">
              <w:rPr>
                <w:spacing w:val="-8"/>
                <w:position w:val="2"/>
                <w:sz w:val="28"/>
                <w:szCs w:val="28"/>
              </w:rPr>
              <w:t>ики</w:t>
            </w:r>
            <w:proofErr w:type="spellEnd"/>
            <w:r w:rsidR="00F04FF8">
              <w:rPr>
                <w:spacing w:val="-8"/>
                <w:position w:val="2"/>
                <w:sz w:val="28"/>
                <w:szCs w:val="28"/>
              </w:rPr>
              <w:t xml:space="preserve"> Фонду" </w:t>
            </w:r>
            <w:proofErr w:type="spellStart"/>
            <w:r w:rsidR="00F04FF8">
              <w:rPr>
                <w:spacing w:val="-8"/>
                <w:position w:val="2"/>
                <w:sz w:val="28"/>
                <w:szCs w:val="28"/>
              </w:rPr>
              <w:t>вживаються</w:t>
            </w:r>
            <w:proofErr w:type="spellEnd"/>
            <w:r w:rsidR="00F04FF8">
              <w:rPr>
                <w:spacing w:val="-8"/>
                <w:position w:val="2"/>
                <w:sz w:val="28"/>
                <w:szCs w:val="28"/>
              </w:rPr>
              <w:t xml:space="preserve"> у </w:t>
            </w:r>
            <w:proofErr w:type="spellStart"/>
            <w:r w:rsidR="00F04FF8">
              <w:rPr>
                <w:spacing w:val="-8"/>
                <w:position w:val="2"/>
                <w:sz w:val="28"/>
                <w:szCs w:val="28"/>
              </w:rPr>
              <w:t>значеннях</w:t>
            </w:r>
            <w:proofErr w:type="spellEnd"/>
            <w:r w:rsidRPr="00BD08EF">
              <w:rPr>
                <w:spacing w:val="-8"/>
                <w:position w:val="2"/>
                <w:sz w:val="28"/>
                <w:szCs w:val="28"/>
              </w:rPr>
              <w:t xml:space="preserve">, </w:t>
            </w:r>
            <w:proofErr w:type="spellStart"/>
            <w:r w:rsidRPr="00BD08EF">
              <w:rPr>
                <w:spacing w:val="-8"/>
                <w:position w:val="2"/>
                <w:sz w:val="28"/>
                <w:szCs w:val="28"/>
              </w:rPr>
              <w:t>визначен</w:t>
            </w:r>
            <w:r w:rsidR="00F04FF8">
              <w:rPr>
                <w:spacing w:val="-8"/>
                <w:position w:val="2"/>
                <w:sz w:val="28"/>
                <w:szCs w:val="28"/>
                <w:lang w:val="uk-UA"/>
              </w:rPr>
              <w:t>их</w:t>
            </w:r>
            <w:bookmarkStart w:id="0" w:name="_GoBack"/>
            <w:bookmarkEnd w:id="0"/>
            <w:proofErr w:type="spellEnd"/>
            <w:r w:rsidRPr="00BD08EF">
              <w:rPr>
                <w:spacing w:val="-8"/>
                <w:position w:val="2"/>
                <w:sz w:val="28"/>
                <w:szCs w:val="28"/>
              </w:rPr>
              <w:t xml:space="preserve"> Законом </w:t>
            </w:r>
            <w:proofErr w:type="spellStart"/>
            <w:r w:rsidRPr="00BD08EF">
              <w:rPr>
                <w:spacing w:val="-8"/>
                <w:position w:val="2"/>
                <w:sz w:val="28"/>
                <w:szCs w:val="28"/>
              </w:rPr>
              <w:t>України</w:t>
            </w:r>
            <w:proofErr w:type="spellEnd"/>
            <w:r w:rsidRPr="00BD08EF">
              <w:rPr>
                <w:spacing w:val="-8"/>
                <w:position w:val="2"/>
                <w:sz w:val="28"/>
                <w:szCs w:val="28"/>
              </w:rPr>
              <w:t xml:space="preserve"> "Про </w:t>
            </w:r>
            <w:proofErr w:type="spellStart"/>
            <w:r w:rsidRPr="00BD08EF">
              <w:rPr>
                <w:spacing w:val="-8"/>
                <w:position w:val="2"/>
                <w:sz w:val="28"/>
                <w:szCs w:val="28"/>
              </w:rPr>
              <w:t>економічний</w:t>
            </w:r>
            <w:proofErr w:type="spellEnd"/>
            <w:r w:rsidRPr="00BD08EF">
              <w:rPr>
                <w:spacing w:val="-8"/>
                <w:position w:val="2"/>
                <w:sz w:val="28"/>
                <w:szCs w:val="28"/>
              </w:rPr>
              <w:t xml:space="preserve"> паспо</w:t>
            </w:r>
            <w:r w:rsidRPr="00BD08EF">
              <w:rPr>
                <w:spacing w:val="-8"/>
                <w:position w:val="2"/>
                <w:sz w:val="28"/>
                <w:szCs w:val="28"/>
                <w:highlight w:val="white"/>
              </w:rPr>
              <w:t>рт</w:t>
            </w:r>
            <w:r w:rsidRPr="00BD08EF">
              <w:rPr>
                <w:spacing w:val="-8"/>
                <w:position w:val="2"/>
                <w:sz w:val="28"/>
                <w:szCs w:val="28"/>
              </w:rPr>
              <w:t>"</w:t>
            </w:r>
            <w:r w:rsidR="00EB3747" w:rsidRPr="00BD08EF">
              <w:rPr>
                <w:spacing w:val="-8"/>
                <w:position w:val="2"/>
                <w:sz w:val="28"/>
                <w:szCs w:val="28"/>
                <w:lang w:val="uk-UA"/>
              </w:rPr>
              <w:t>.</w:t>
            </w:r>
          </w:p>
        </w:tc>
      </w:tr>
    </w:tbl>
    <w:p w:rsidR="001C76FE" w:rsidRDefault="001C76FE" w:rsidP="006A7208">
      <w:pPr>
        <w:ind w:left="993"/>
        <w:rPr>
          <w:bCs/>
          <w:spacing w:val="-4"/>
          <w:sz w:val="28"/>
          <w:szCs w:val="28"/>
          <w:lang w:val="uk-UA"/>
        </w:rPr>
      </w:pPr>
    </w:p>
    <w:p w:rsidR="000F68B2" w:rsidRPr="00BE436D" w:rsidRDefault="00534F55" w:rsidP="006A7208">
      <w:pPr>
        <w:ind w:left="993"/>
        <w:rPr>
          <w:spacing w:val="-4"/>
          <w:sz w:val="28"/>
          <w:szCs w:val="28"/>
          <w:lang w:val="uk-UA"/>
        </w:rPr>
      </w:pPr>
      <w:r w:rsidRPr="00BE436D">
        <w:rPr>
          <w:spacing w:val="-4"/>
          <w:sz w:val="28"/>
          <w:szCs w:val="28"/>
          <w:lang w:val="uk-UA"/>
        </w:rPr>
        <w:t xml:space="preserve">    </w:t>
      </w:r>
      <w:r w:rsidR="000F68B2" w:rsidRPr="00BE436D">
        <w:rPr>
          <w:spacing w:val="-4"/>
          <w:sz w:val="28"/>
          <w:szCs w:val="28"/>
          <w:lang w:val="uk-UA"/>
        </w:rPr>
        <w:t xml:space="preserve">Заступник </w:t>
      </w:r>
      <w:r w:rsidRPr="00BE436D">
        <w:rPr>
          <w:spacing w:val="-4"/>
          <w:sz w:val="28"/>
          <w:szCs w:val="28"/>
          <w:lang w:val="uk-UA"/>
        </w:rPr>
        <w:t>Керівника</w:t>
      </w:r>
    </w:p>
    <w:p w:rsidR="001E1B26" w:rsidRPr="001C76FE" w:rsidRDefault="00534F55" w:rsidP="006A7208">
      <w:pPr>
        <w:ind w:left="993"/>
        <w:rPr>
          <w:spacing w:val="-4"/>
          <w:lang w:val="uk-UA"/>
        </w:rPr>
      </w:pPr>
      <w:r w:rsidRPr="00BE436D">
        <w:rPr>
          <w:spacing w:val="-4"/>
          <w:sz w:val="28"/>
          <w:szCs w:val="28"/>
          <w:lang w:val="uk-UA"/>
        </w:rPr>
        <w:t>Офісу</w:t>
      </w:r>
      <w:r w:rsidR="000F68B2" w:rsidRPr="00BE436D">
        <w:rPr>
          <w:spacing w:val="-4"/>
          <w:sz w:val="28"/>
          <w:szCs w:val="28"/>
          <w:lang w:val="uk-UA"/>
        </w:rPr>
        <w:t xml:space="preserve"> Президента України                                                                                          </w:t>
      </w:r>
      <w:r w:rsidR="00DC0B21" w:rsidRPr="00BE436D">
        <w:rPr>
          <w:spacing w:val="-4"/>
          <w:sz w:val="28"/>
          <w:szCs w:val="28"/>
          <w:lang w:val="uk-UA"/>
        </w:rPr>
        <w:t xml:space="preserve">      </w:t>
      </w:r>
      <w:r w:rsidR="000F68B2" w:rsidRPr="00BE436D">
        <w:rPr>
          <w:spacing w:val="-4"/>
          <w:sz w:val="28"/>
          <w:szCs w:val="28"/>
          <w:lang w:val="uk-UA"/>
        </w:rPr>
        <w:t xml:space="preserve">  </w:t>
      </w:r>
      <w:r w:rsidR="00B40C55" w:rsidRPr="00BE436D">
        <w:rPr>
          <w:spacing w:val="-4"/>
          <w:sz w:val="28"/>
          <w:szCs w:val="28"/>
          <w:lang w:val="uk-UA"/>
        </w:rPr>
        <w:t xml:space="preserve">             </w:t>
      </w:r>
      <w:r w:rsidR="001C76FE">
        <w:rPr>
          <w:spacing w:val="-4"/>
          <w:sz w:val="28"/>
          <w:szCs w:val="28"/>
          <w:lang w:val="uk-UA"/>
        </w:rPr>
        <w:t xml:space="preserve">       </w:t>
      </w:r>
      <w:r w:rsidR="00B40C55" w:rsidRPr="00BE436D">
        <w:rPr>
          <w:spacing w:val="-4"/>
          <w:sz w:val="28"/>
          <w:szCs w:val="28"/>
          <w:lang w:val="uk-UA"/>
        </w:rPr>
        <w:t xml:space="preserve">   </w:t>
      </w:r>
      <w:r w:rsidR="000F68B2" w:rsidRPr="00BE436D">
        <w:rPr>
          <w:spacing w:val="-4"/>
          <w:sz w:val="28"/>
          <w:szCs w:val="28"/>
          <w:lang w:val="uk-UA"/>
        </w:rPr>
        <w:t xml:space="preserve">  </w:t>
      </w:r>
      <w:proofErr w:type="spellStart"/>
      <w:r w:rsidR="001C76FE">
        <w:rPr>
          <w:b/>
          <w:spacing w:val="-4"/>
          <w:sz w:val="28"/>
          <w:szCs w:val="28"/>
          <w:lang w:val="uk-UA"/>
        </w:rPr>
        <w:t>Р.Шурма</w:t>
      </w:r>
      <w:proofErr w:type="spellEnd"/>
    </w:p>
    <w:sectPr w:rsidR="001E1B26" w:rsidRPr="001C76FE" w:rsidSect="00F02458">
      <w:headerReference w:type="even" r:id="rId7"/>
      <w:headerReference w:type="default" r:id="rId8"/>
      <w:pgSz w:w="16838" w:h="11906" w:orient="landscape" w:code="9"/>
      <w:pgMar w:top="1701" w:right="1134" w:bottom="851" w:left="1134"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086" w:rsidRDefault="007F4086">
      <w:r>
        <w:separator/>
      </w:r>
    </w:p>
  </w:endnote>
  <w:endnote w:type="continuationSeparator" w:id="0">
    <w:p w:rsidR="007F4086" w:rsidRDefault="007F4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086" w:rsidRDefault="007F4086">
      <w:r>
        <w:separator/>
      </w:r>
    </w:p>
  </w:footnote>
  <w:footnote w:type="continuationSeparator" w:id="0">
    <w:p w:rsidR="007F4086" w:rsidRDefault="007F4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41" w:rsidRDefault="000E4541" w:rsidP="00D4055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E4541" w:rsidRDefault="000E454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41" w:rsidRPr="00EA4D71" w:rsidRDefault="000E4541" w:rsidP="00D40553">
    <w:pPr>
      <w:pStyle w:val="a4"/>
      <w:framePr w:wrap="around" w:vAnchor="text" w:hAnchor="margin" w:xAlign="center" w:y="1"/>
      <w:rPr>
        <w:rStyle w:val="a6"/>
        <w:sz w:val="28"/>
        <w:szCs w:val="28"/>
      </w:rPr>
    </w:pPr>
    <w:r w:rsidRPr="00EA4D71">
      <w:rPr>
        <w:rStyle w:val="a6"/>
        <w:sz w:val="28"/>
        <w:szCs w:val="28"/>
      </w:rPr>
      <w:fldChar w:fldCharType="begin"/>
    </w:r>
    <w:r w:rsidRPr="00EA4D71">
      <w:rPr>
        <w:rStyle w:val="a6"/>
        <w:sz w:val="28"/>
        <w:szCs w:val="28"/>
      </w:rPr>
      <w:instrText xml:space="preserve">PAGE  </w:instrText>
    </w:r>
    <w:r w:rsidRPr="00EA4D71">
      <w:rPr>
        <w:rStyle w:val="a6"/>
        <w:sz w:val="28"/>
        <w:szCs w:val="28"/>
      </w:rPr>
      <w:fldChar w:fldCharType="separate"/>
    </w:r>
    <w:r w:rsidR="00F04FF8">
      <w:rPr>
        <w:rStyle w:val="a6"/>
        <w:noProof/>
        <w:sz w:val="28"/>
        <w:szCs w:val="28"/>
      </w:rPr>
      <w:t>3</w:t>
    </w:r>
    <w:r w:rsidRPr="00EA4D71">
      <w:rPr>
        <w:rStyle w:val="a6"/>
        <w:sz w:val="28"/>
        <w:szCs w:val="28"/>
      </w:rPr>
      <w:fldChar w:fldCharType="end"/>
    </w:r>
  </w:p>
  <w:p w:rsidR="000E4541" w:rsidRDefault="000E454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6D3"/>
    <w:rsid w:val="00002A8C"/>
    <w:rsid w:val="00003904"/>
    <w:rsid w:val="00011E7E"/>
    <w:rsid w:val="00013882"/>
    <w:rsid w:val="00015615"/>
    <w:rsid w:val="00016194"/>
    <w:rsid w:val="000169EB"/>
    <w:rsid w:val="00021B09"/>
    <w:rsid w:val="000237DF"/>
    <w:rsid w:val="000257BA"/>
    <w:rsid w:val="00030FD1"/>
    <w:rsid w:val="0003180D"/>
    <w:rsid w:val="0003437B"/>
    <w:rsid w:val="0003492D"/>
    <w:rsid w:val="00035794"/>
    <w:rsid w:val="000403FA"/>
    <w:rsid w:val="00042D18"/>
    <w:rsid w:val="00042DF4"/>
    <w:rsid w:val="00043E54"/>
    <w:rsid w:val="0004545E"/>
    <w:rsid w:val="000467D8"/>
    <w:rsid w:val="00052EDB"/>
    <w:rsid w:val="00056397"/>
    <w:rsid w:val="000572EE"/>
    <w:rsid w:val="00066CE0"/>
    <w:rsid w:val="00071131"/>
    <w:rsid w:val="000777D2"/>
    <w:rsid w:val="000803F9"/>
    <w:rsid w:val="00083E9B"/>
    <w:rsid w:val="00086DA5"/>
    <w:rsid w:val="00090E25"/>
    <w:rsid w:val="00091518"/>
    <w:rsid w:val="000A54D0"/>
    <w:rsid w:val="000B0B5A"/>
    <w:rsid w:val="000B2AF3"/>
    <w:rsid w:val="000B4BCC"/>
    <w:rsid w:val="000C2960"/>
    <w:rsid w:val="000C4459"/>
    <w:rsid w:val="000D12A3"/>
    <w:rsid w:val="000D2E78"/>
    <w:rsid w:val="000D5F34"/>
    <w:rsid w:val="000D77EC"/>
    <w:rsid w:val="000D7E50"/>
    <w:rsid w:val="000D7F53"/>
    <w:rsid w:val="000E0E5C"/>
    <w:rsid w:val="000E4541"/>
    <w:rsid w:val="000E5955"/>
    <w:rsid w:val="000E728D"/>
    <w:rsid w:val="000F11F4"/>
    <w:rsid w:val="000F2508"/>
    <w:rsid w:val="000F68B2"/>
    <w:rsid w:val="00103999"/>
    <w:rsid w:val="00104BAE"/>
    <w:rsid w:val="00113B73"/>
    <w:rsid w:val="0011485E"/>
    <w:rsid w:val="0011575E"/>
    <w:rsid w:val="00116874"/>
    <w:rsid w:val="00124305"/>
    <w:rsid w:val="00124413"/>
    <w:rsid w:val="00124DA5"/>
    <w:rsid w:val="001258C2"/>
    <w:rsid w:val="00127EBE"/>
    <w:rsid w:val="00130A51"/>
    <w:rsid w:val="00130A79"/>
    <w:rsid w:val="00135B29"/>
    <w:rsid w:val="0013638F"/>
    <w:rsid w:val="00142303"/>
    <w:rsid w:val="001447A9"/>
    <w:rsid w:val="001470AE"/>
    <w:rsid w:val="0016666E"/>
    <w:rsid w:val="00174CE5"/>
    <w:rsid w:val="001808F2"/>
    <w:rsid w:val="00183FB3"/>
    <w:rsid w:val="00186CC2"/>
    <w:rsid w:val="00190398"/>
    <w:rsid w:val="00191523"/>
    <w:rsid w:val="00194DF8"/>
    <w:rsid w:val="001977A1"/>
    <w:rsid w:val="001A1021"/>
    <w:rsid w:val="001A2300"/>
    <w:rsid w:val="001A4161"/>
    <w:rsid w:val="001A5364"/>
    <w:rsid w:val="001A77FA"/>
    <w:rsid w:val="001A7C3C"/>
    <w:rsid w:val="001A7C6E"/>
    <w:rsid w:val="001A7CD7"/>
    <w:rsid w:val="001B22AB"/>
    <w:rsid w:val="001B2AF9"/>
    <w:rsid w:val="001B5E6F"/>
    <w:rsid w:val="001C76FE"/>
    <w:rsid w:val="001D3FF0"/>
    <w:rsid w:val="001D6CA4"/>
    <w:rsid w:val="001D7A97"/>
    <w:rsid w:val="001E0EFF"/>
    <w:rsid w:val="001E1B26"/>
    <w:rsid w:val="001E379E"/>
    <w:rsid w:val="001E6715"/>
    <w:rsid w:val="001F3897"/>
    <w:rsid w:val="001F4B7C"/>
    <w:rsid w:val="001F4E66"/>
    <w:rsid w:val="00201FA8"/>
    <w:rsid w:val="00205AC2"/>
    <w:rsid w:val="00205B13"/>
    <w:rsid w:val="00205F2E"/>
    <w:rsid w:val="002131A9"/>
    <w:rsid w:val="00217171"/>
    <w:rsid w:val="00222D3C"/>
    <w:rsid w:val="0022480D"/>
    <w:rsid w:val="00232CBF"/>
    <w:rsid w:val="002338DA"/>
    <w:rsid w:val="0023737A"/>
    <w:rsid w:val="00242814"/>
    <w:rsid w:val="00250282"/>
    <w:rsid w:val="00254A45"/>
    <w:rsid w:val="00256EC5"/>
    <w:rsid w:val="00256EEC"/>
    <w:rsid w:val="002570F6"/>
    <w:rsid w:val="00257162"/>
    <w:rsid w:val="00262C48"/>
    <w:rsid w:val="00266202"/>
    <w:rsid w:val="002673A0"/>
    <w:rsid w:val="002677B2"/>
    <w:rsid w:val="00275053"/>
    <w:rsid w:val="00277677"/>
    <w:rsid w:val="00284BE3"/>
    <w:rsid w:val="002911F2"/>
    <w:rsid w:val="0029284D"/>
    <w:rsid w:val="00294AB4"/>
    <w:rsid w:val="002A4970"/>
    <w:rsid w:val="002A4DCF"/>
    <w:rsid w:val="002A543E"/>
    <w:rsid w:val="002B4207"/>
    <w:rsid w:val="002B42F4"/>
    <w:rsid w:val="002B4E7D"/>
    <w:rsid w:val="002B6D05"/>
    <w:rsid w:val="002B725D"/>
    <w:rsid w:val="002C3AB8"/>
    <w:rsid w:val="002C4019"/>
    <w:rsid w:val="002C40EA"/>
    <w:rsid w:val="002C505A"/>
    <w:rsid w:val="002C53D7"/>
    <w:rsid w:val="002C5EAD"/>
    <w:rsid w:val="002D3205"/>
    <w:rsid w:val="002D6EA1"/>
    <w:rsid w:val="002E5169"/>
    <w:rsid w:val="002F590B"/>
    <w:rsid w:val="00305DDB"/>
    <w:rsid w:val="00305F5F"/>
    <w:rsid w:val="00315B70"/>
    <w:rsid w:val="0031781C"/>
    <w:rsid w:val="00327D26"/>
    <w:rsid w:val="0033033D"/>
    <w:rsid w:val="003325D5"/>
    <w:rsid w:val="00333DE4"/>
    <w:rsid w:val="00336CFA"/>
    <w:rsid w:val="00337CAD"/>
    <w:rsid w:val="00337DFD"/>
    <w:rsid w:val="003459D8"/>
    <w:rsid w:val="00346102"/>
    <w:rsid w:val="00347285"/>
    <w:rsid w:val="0035084D"/>
    <w:rsid w:val="0035136D"/>
    <w:rsid w:val="00351CAB"/>
    <w:rsid w:val="003563F2"/>
    <w:rsid w:val="003611CA"/>
    <w:rsid w:val="00365406"/>
    <w:rsid w:val="0036720D"/>
    <w:rsid w:val="00371991"/>
    <w:rsid w:val="00377224"/>
    <w:rsid w:val="0037771A"/>
    <w:rsid w:val="0038073A"/>
    <w:rsid w:val="003816DE"/>
    <w:rsid w:val="0038621B"/>
    <w:rsid w:val="003908B5"/>
    <w:rsid w:val="003919DB"/>
    <w:rsid w:val="0039361B"/>
    <w:rsid w:val="00395278"/>
    <w:rsid w:val="003953C7"/>
    <w:rsid w:val="003A5710"/>
    <w:rsid w:val="003B3B2E"/>
    <w:rsid w:val="003D42AF"/>
    <w:rsid w:val="003D49C0"/>
    <w:rsid w:val="003E1283"/>
    <w:rsid w:val="003E1A06"/>
    <w:rsid w:val="003F14B1"/>
    <w:rsid w:val="003F7336"/>
    <w:rsid w:val="003F7856"/>
    <w:rsid w:val="003F7A02"/>
    <w:rsid w:val="00405875"/>
    <w:rsid w:val="004104AA"/>
    <w:rsid w:val="00412A69"/>
    <w:rsid w:val="004150F1"/>
    <w:rsid w:val="00415EAE"/>
    <w:rsid w:val="0043074A"/>
    <w:rsid w:val="00430E4F"/>
    <w:rsid w:val="004356C9"/>
    <w:rsid w:val="004363ED"/>
    <w:rsid w:val="00441256"/>
    <w:rsid w:val="004423B9"/>
    <w:rsid w:val="00442FAD"/>
    <w:rsid w:val="00447E85"/>
    <w:rsid w:val="00452FD7"/>
    <w:rsid w:val="00453977"/>
    <w:rsid w:val="00455C39"/>
    <w:rsid w:val="00456B20"/>
    <w:rsid w:val="004605A1"/>
    <w:rsid w:val="00462501"/>
    <w:rsid w:val="00462880"/>
    <w:rsid w:val="00464B7E"/>
    <w:rsid w:val="00467A24"/>
    <w:rsid w:val="00470883"/>
    <w:rsid w:val="00473E24"/>
    <w:rsid w:val="0047470E"/>
    <w:rsid w:val="00475284"/>
    <w:rsid w:val="00475423"/>
    <w:rsid w:val="0047767F"/>
    <w:rsid w:val="0047779E"/>
    <w:rsid w:val="00477DA1"/>
    <w:rsid w:val="00482FFA"/>
    <w:rsid w:val="00492591"/>
    <w:rsid w:val="00495CC2"/>
    <w:rsid w:val="00496CD3"/>
    <w:rsid w:val="00497DD0"/>
    <w:rsid w:val="004A0614"/>
    <w:rsid w:val="004A0F02"/>
    <w:rsid w:val="004A30F4"/>
    <w:rsid w:val="004A36D3"/>
    <w:rsid w:val="004A4A40"/>
    <w:rsid w:val="004A5A69"/>
    <w:rsid w:val="004B44C3"/>
    <w:rsid w:val="004B50C5"/>
    <w:rsid w:val="004B7A6E"/>
    <w:rsid w:val="004B7FDD"/>
    <w:rsid w:val="004C20B0"/>
    <w:rsid w:val="004C4CC7"/>
    <w:rsid w:val="004C54E3"/>
    <w:rsid w:val="004C6F9F"/>
    <w:rsid w:val="004D034D"/>
    <w:rsid w:val="004D05E1"/>
    <w:rsid w:val="004D0FA4"/>
    <w:rsid w:val="004D2860"/>
    <w:rsid w:val="004D2993"/>
    <w:rsid w:val="004D4893"/>
    <w:rsid w:val="004E04AC"/>
    <w:rsid w:val="004E06D5"/>
    <w:rsid w:val="004E1924"/>
    <w:rsid w:val="004E3CE5"/>
    <w:rsid w:val="004E4116"/>
    <w:rsid w:val="004E4B12"/>
    <w:rsid w:val="004E72C0"/>
    <w:rsid w:val="004F4C89"/>
    <w:rsid w:val="004F562E"/>
    <w:rsid w:val="00500D10"/>
    <w:rsid w:val="005114E2"/>
    <w:rsid w:val="00514F1C"/>
    <w:rsid w:val="00515436"/>
    <w:rsid w:val="00520F42"/>
    <w:rsid w:val="0052604D"/>
    <w:rsid w:val="00526A92"/>
    <w:rsid w:val="005311F4"/>
    <w:rsid w:val="00533BD7"/>
    <w:rsid w:val="00534F55"/>
    <w:rsid w:val="005423BD"/>
    <w:rsid w:val="0054317A"/>
    <w:rsid w:val="00543EC8"/>
    <w:rsid w:val="00555715"/>
    <w:rsid w:val="00557066"/>
    <w:rsid w:val="00561F26"/>
    <w:rsid w:val="005633CF"/>
    <w:rsid w:val="00567B94"/>
    <w:rsid w:val="00571E81"/>
    <w:rsid w:val="00574D3F"/>
    <w:rsid w:val="00575D39"/>
    <w:rsid w:val="00576776"/>
    <w:rsid w:val="005768E6"/>
    <w:rsid w:val="00585183"/>
    <w:rsid w:val="00585B1E"/>
    <w:rsid w:val="00586140"/>
    <w:rsid w:val="005879B3"/>
    <w:rsid w:val="00587AEA"/>
    <w:rsid w:val="00592185"/>
    <w:rsid w:val="005929DC"/>
    <w:rsid w:val="005A6813"/>
    <w:rsid w:val="005B0BB1"/>
    <w:rsid w:val="005B3C8C"/>
    <w:rsid w:val="005B7994"/>
    <w:rsid w:val="005C0807"/>
    <w:rsid w:val="005C1BA4"/>
    <w:rsid w:val="005C574C"/>
    <w:rsid w:val="005C6418"/>
    <w:rsid w:val="005D0738"/>
    <w:rsid w:val="005D208E"/>
    <w:rsid w:val="005D4B4A"/>
    <w:rsid w:val="005D5A07"/>
    <w:rsid w:val="005D5FC4"/>
    <w:rsid w:val="005D7F1A"/>
    <w:rsid w:val="005E096C"/>
    <w:rsid w:val="005E0E2B"/>
    <w:rsid w:val="005F51AB"/>
    <w:rsid w:val="005F6753"/>
    <w:rsid w:val="005F7355"/>
    <w:rsid w:val="00600906"/>
    <w:rsid w:val="006048AB"/>
    <w:rsid w:val="00606007"/>
    <w:rsid w:val="00607BCB"/>
    <w:rsid w:val="00610453"/>
    <w:rsid w:val="006114D3"/>
    <w:rsid w:val="00611547"/>
    <w:rsid w:val="00617000"/>
    <w:rsid w:val="00624420"/>
    <w:rsid w:val="0062716E"/>
    <w:rsid w:val="00645F91"/>
    <w:rsid w:val="0065039A"/>
    <w:rsid w:val="00650DB7"/>
    <w:rsid w:val="00651091"/>
    <w:rsid w:val="00653D02"/>
    <w:rsid w:val="0066203D"/>
    <w:rsid w:val="00667208"/>
    <w:rsid w:val="00673376"/>
    <w:rsid w:val="00677DC0"/>
    <w:rsid w:val="006826D0"/>
    <w:rsid w:val="006864F3"/>
    <w:rsid w:val="0068701D"/>
    <w:rsid w:val="006A0FC4"/>
    <w:rsid w:val="006A2636"/>
    <w:rsid w:val="006A7024"/>
    <w:rsid w:val="006A7208"/>
    <w:rsid w:val="006B0C94"/>
    <w:rsid w:val="006B380F"/>
    <w:rsid w:val="006B5035"/>
    <w:rsid w:val="006B62F3"/>
    <w:rsid w:val="006C0E1A"/>
    <w:rsid w:val="006C27CA"/>
    <w:rsid w:val="006C367C"/>
    <w:rsid w:val="006D3A7D"/>
    <w:rsid w:val="006D6ED3"/>
    <w:rsid w:val="006E0965"/>
    <w:rsid w:val="006E305A"/>
    <w:rsid w:val="006E3E67"/>
    <w:rsid w:val="006F14F2"/>
    <w:rsid w:val="006F19BD"/>
    <w:rsid w:val="006F2389"/>
    <w:rsid w:val="006F3AA8"/>
    <w:rsid w:val="006F5ABA"/>
    <w:rsid w:val="006F62D0"/>
    <w:rsid w:val="006F6CE5"/>
    <w:rsid w:val="00704B0C"/>
    <w:rsid w:val="007069F6"/>
    <w:rsid w:val="0071001D"/>
    <w:rsid w:val="00711346"/>
    <w:rsid w:val="00712EEC"/>
    <w:rsid w:val="0071498B"/>
    <w:rsid w:val="00715480"/>
    <w:rsid w:val="0072119C"/>
    <w:rsid w:val="007250E9"/>
    <w:rsid w:val="00725798"/>
    <w:rsid w:val="007307AA"/>
    <w:rsid w:val="00730DE6"/>
    <w:rsid w:val="00731A7F"/>
    <w:rsid w:val="00732154"/>
    <w:rsid w:val="00736B5A"/>
    <w:rsid w:val="00737C4B"/>
    <w:rsid w:val="0074423A"/>
    <w:rsid w:val="007447FC"/>
    <w:rsid w:val="00745024"/>
    <w:rsid w:val="0075015D"/>
    <w:rsid w:val="007503AE"/>
    <w:rsid w:val="00750A90"/>
    <w:rsid w:val="0075223A"/>
    <w:rsid w:val="00754D05"/>
    <w:rsid w:val="007624D8"/>
    <w:rsid w:val="007654B2"/>
    <w:rsid w:val="0076589D"/>
    <w:rsid w:val="00765F21"/>
    <w:rsid w:val="00766B0B"/>
    <w:rsid w:val="007723D7"/>
    <w:rsid w:val="00775AAB"/>
    <w:rsid w:val="007760FA"/>
    <w:rsid w:val="007845DC"/>
    <w:rsid w:val="00792186"/>
    <w:rsid w:val="00797F4F"/>
    <w:rsid w:val="007A00C6"/>
    <w:rsid w:val="007A5478"/>
    <w:rsid w:val="007A564B"/>
    <w:rsid w:val="007A57E6"/>
    <w:rsid w:val="007A67B5"/>
    <w:rsid w:val="007A7C6A"/>
    <w:rsid w:val="007B4B30"/>
    <w:rsid w:val="007B57A2"/>
    <w:rsid w:val="007C68A1"/>
    <w:rsid w:val="007C6F66"/>
    <w:rsid w:val="007D047D"/>
    <w:rsid w:val="007D15BC"/>
    <w:rsid w:val="007D2537"/>
    <w:rsid w:val="007D2F6E"/>
    <w:rsid w:val="007E2FFF"/>
    <w:rsid w:val="007E50D8"/>
    <w:rsid w:val="007F0196"/>
    <w:rsid w:val="007F1F56"/>
    <w:rsid w:val="007F4086"/>
    <w:rsid w:val="008019F8"/>
    <w:rsid w:val="00802745"/>
    <w:rsid w:val="00804AF8"/>
    <w:rsid w:val="008101A9"/>
    <w:rsid w:val="00812347"/>
    <w:rsid w:val="00813976"/>
    <w:rsid w:val="00816DEB"/>
    <w:rsid w:val="00816DF6"/>
    <w:rsid w:val="00817B38"/>
    <w:rsid w:val="008236C5"/>
    <w:rsid w:val="0082533C"/>
    <w:rsid w:val="00827F85"/>
    <w:rsid w:val="0083017E"/>
    <w:rsid w:val="008337F5"/>
    <w:rsid w:val="00833992"/>
    <w:rsid w:val="00835B93"/>
    <w:rsid w:val="00841678"/>
    <w:rsid w:val="00841C6D"/>
    <w:rsid w:val="00847773"/>
    <w:rsid w:val="008704BB"/>
    <w:rsid w:val="008731DF"/>
    <w:rsid w:val="008742D9"/>
    <w:rsid w:val="00880270"/>
    <w:rsid w:val="00884BA9"/>
    <w:rsid w:val="00885F30"/>
    <w:rsid w:val="00890C6F"/>
    <w:rsid w:val="00895053"/>
    <w:rsid w:val="00896DBD"/>
    <w:rsid w:val="008974BF"/>
    <w:rsid w:val="008A17A9"/>
    <w:rsid w:val="008A3107"/>
    <w:rsid w:val="008B0FDB"/>
    <w:rsid w:val="008B2ADA"/>
    <w:rsid w:val="008B4FB5"/>
    <w:rsid w:val="008B6904"/>
    <w:rsid w:val="008C043F"/>
    <w:rsid w:val="008C09EA"/>
    <w:rsid w:val="008C44F9"/>
    <w:rsid w:val="008C59AC"/>
    <w:rsid w:val="008D47BC"/>
    <w:rsid w:val="008D49D4"/>
    <w:rsid w:val="008E1F6E"/>
    <w:rsid w:val="008E4ED5"/>
    <w:rsid w:val="008E59DD"/>
    <w:rsid w:val="008E76B7"/>
    <w:rsid w:val="008F20EA"/>
    <w:rsid w:val="0090054E"/>
    <w:rsid w:val="00900A95"/>
    <w:rsid w:val="00901F3D"/>
    <w:rsid w:val="00902539"/>
    <w:rsid w:val="00903934"/>
    <w:rsid w:val="00911809"/>
    <w:rsid w:val="0091182F"/>
    <w:rsid w:val="009123A3"/>
    <w:rsid w:val="00914294"/>
    <w:rsid w:val="00915220"/>
    <w:rsid w:val="00915574"/>
    <w:rsid w:val="00920306"/>
    <w:rsid w:val="00923098"/>
    <w:rsid w:val="009328F0"/>
    <w:rsid w:val="009338F6"/>
    <w:rsid w:val="00934314"/>
    <w:rsid w:val="0093438B"/>
    <w:rsid w:val="00934C4F"/>
    <w:rsid w:val="00936D95"/>
    <w:rsid w:val="009372E4"/>
    <w:rsid w:val="00937CC4"/>
    <w:rsid w:val="00941898"/>
    <w:rsid w:val="009419C4"/>
    <w:rsid w:val="009442AA"/>
    <w:rsid w:val="009471DF"/>
    <w:rsid w:val="0095061A"/>
    <w:rsid w:val="0095066F"/>
    <w:rsid w:val="0095124E"/>
    <w:rsid w:val="00951BE6"/>
    <w:rsid w:val="00954CC9"/>
    <w:rsid w:val="009615AD"/>
    <w:rsid w:val="00961FE2"/>
    <w:rsid w:val="00964EF2"/>
    <w:rsid w:val="0096515F"/>
    <w:rsid w:val="00967396"/>
    <w:rsid w:val="009715E6"/>
    <w:rsid w:val="009720F5"/>
    <w:rsid w:val="009721E7"/>
    <w:rsid w:val="00972801"/>
    <w:rsid w:val="00976146"/>
    <w:rsid w:val="00980EE9"/>
    <w:rsid w:val="00982A8E"/>
    <w:rsid w:val="009850B8"/>
    <w:rsid w:val="009921C5"/>
    <w:rsid w:val="00997468"/>
    <w:rsid w:val="009A356A"/>
    <w:rsid w:val="009A615A"/>
    <w:rsid w:val="009A6BC9"/>
    <w:rsid w:val="009C0130"/>
    <w:rsid w:val="009C4FC3"/>
    <w:rsid w:val="009D080B"/>
    <w:rsid w:val="009D0D42"/>
    <w:rsid w:val="009D1710"/>
    <w:rsid w:val="009D23A2"/>
    <w:rsid w:val="009D2D8A"/>
    <w:rsid w:val="009D3166"/>
    <w:rsid w:val="009D42C6"/>
    <w:rsid w:val="009D4702"/>
    <w:rsid w:val="009D6C98"/>
    <w:rsid w:val="009E2733"/>
    <w:rsid w:val="009E5469"/>
    <w:rsid w:val="009F1EED"/>
    <w:rsid w:val="009F3E52"/>
    <w:rsid w:val="009F672E"/>
    <w:rsid w:val="00A05436"/>
    <w:rsid w:val="00A119B0"/>
    <w:rsid w:val="00A128AB"/>
    <w:rsid w:val="00A12C49"/>
    <w:rsid w:val="00A14CA5"/>
    <w:rsid w:val="00A16D94"/>
    <w:rsid w:val="00A275AA"/>
    <w:rsid w:val="00A3199D"/>
    <w:rsid w:val="00A33D37"/>
    <w:rsid w:val="00A37779"/>
    <w:rsid w:val="00A4002D"/>
    <w:rsid w:val="00A41955"/>
    <w:rsid w:val="00A42682"/>
    <w:rsid w:val="00A43F73"/>
    <w:rsid w:val="00A46106"/>
    <w:rsid w:val="00A506A7"/>
    <w:rsid w:val="00A5184F"/>
    <w:rsid w:val="00A51C22"/>
    <w:rsid w:val="00A51D60"/>
    <w:rsid w:val="00A5226A"/>
    <w:rsid w:val="00A535AA"/>
    <w:rsid w:val="00A56093"/>
    <w:rsid w:val="00A61142"/>
    <w:rsid w:val="00A62D01"/>
    <w:rsid w:val="00A6529C"/>
    <w:rsid w:val="00A66ACD"/>
    <w:rsid w:val="00A72186"/>
    <w:rsid w:val="00A747EC"/>
    <w:rsid w:val="00A82776"/>
    <w:rsid w:val="00A83FF2"/>
    <w:rsid w:val="00A8688C"/>
    <w:rsid w:val="00A872C2"/>
    <w:rsid w:val="00A90DC0"/>
    <w:rsid w:val="00A9573D"/>
    <w:rsid w:val="00AA459B"/>
    <w:rsid w:val="00AA7701"/>
    <w:rsid w:val="00AB5D3E"/>
    <w:rsid w:val="00AC3B8D"/>
    <w:rsid w:val="00AC661E"/>
    <w:rsid w:val="00AC74BD"/>
    <w:rsid w:val="00AD2029"/>
    <w:rsid w:val="00AD7497"/>
    <w:rsid w:val="00AE01E7"/>
    <w:rsid w:val="00AE4D6B"/>
    <w:rsid w:val="00AE706A"/>
    <w:rsid w:val="00AE734B"/>
    <w:rsid w:val="00AE799B"/>
    <w:rsid w:val="00AF3B62"/>
    <w:rsid w:val="00AF6649"/>
    <w:rsid w:val="00AF77A5"/>
    <w:rsid w:val="00B13112"/>
    <w:rsid w:val="00B13689"/>
    <w:rsid w:val="00B15E84"/>
    <w:rsid w:val="00B25B61"/>
    <w:rsid w:val="00B26C0C"/>
    <w:rsid w:val="00B31663"/>
    <w:rsid w:val="00B33479"/>
    <w:rsid w:val="00B3392D"/>
    <w:rsid w:val="00B348FD"/>
    <w:rsid w:val="00B40C55"/>
    <w:rsid w:val="00B42BF9"/>
    <w:rsid w:val="00B45A0C"/>
    <w:rsid w:val="00B55719"/>
    <w:rsid w:val="00B567F0"/>
    <w:rsid w:val="00B62915"/>
    <w:rsid w:val="00B64154"/>
    <w:rsid w:val="00B65521"/>
    <w:rsid w:val="00B73EC0"/>
    <w:rsid w:val="00B7675D"/>
    <w:rsid w:val="00B81409"/>
    <w:rsid w:val="00B85B43"/>
    <w:rsid w:val="00B90BC2"/>
    <w:rsid w:val="00B90D9E"/>
    <w:rsid w:val="00B927F0"/>
    <w:rsid w:val="00B9328F"/>
    <w:rsid w:val="00B96620"/>
    <w:rsid w:val="00BA6DDD"/>
    <w:rsid w:val="00BA712C"/>
    <w:rsid w:val="00BB0277"/>
    <w:rsid w:val="00BB1D88"/>
    <w:rsid w:val="00BB1FE2"/>
    <w:rsid w:val="00BB2D93"/>
    <w:rsid w:val="00BB2DC5"/>
    <w:rsid w:val="00BB3820"/>
    <w:rsid w:val="00BB52CF"/>
    <w:rsid w:val="00BB7BFE"/>
    <w:rsid w:val="00BC0378"/>
    <w:rsid w:val="00BC1083"/>
    <w:rsid w:val="00BC394D"/>
    <w:rsid w:val="00BD08EF"/>
    <w:rsid w:val="00BD405B"/>
    <w:rsid w:val="00BD427B"/>
    <w:rsid w:val="00BD50C8"/>
    <w:rsid w:val="00BD5925"/>
    <w:rsid w:val="00BD5C7B"/>
    <w:rsid w:val="00BD6742"/>
    <w:rsid w:val="00BD6B48"/>
    <w:rsid w:val="00BE0CDD"/>
    <w:rsid w:val="00BE2541"/>
    <w:rsid w:val="00BE2AB8"/>
    <w:rsid w:val="00BE3950"/>
    <w:rsid w:val="00BE436D"/>
    <w:rsid w:val="00BE44F3"/>
    <w:rsid w:val="00BF16B6"/>
    <w:rsid w:val="00C01B24"/>
    <w:rsid w:val="00C0267F"/>
    <w:rsid w:val="00C03E99"/>
    <w:rsid w:val="00C06573"/>
    <w:rsid w:val="00C07558"/>
    <w:rsid w:val="00C13DC5"/>
    <w:rsid w:val="00C2618A"/>
    <w:rsid w:val="00C27492"/>
    <w:rsid w:val="00C36419"/>
    <w:rsid w:val="00C406D3"/>
    <w:rsid w:val="00C40AEB"/>
    <w:rsid w:val="00C43902"/>
    <w:rsid w:val="00C4394C"/>
    <w:rsid w:val="00C443D5"/>
    <w:rsid w:val="00C5027C"/>
    <w:rsid w:val="00C510EF"/>
    <w:rsid w:val="00C52542"/>
    <w:rsid w:val="00C54621"/>
    <w:rsid w:val="00C54934"/>
    <w:rsid w:val="00C57006"/>
    <w:rsid w:val="00C61A51"/>
    <w:rsid w:val="00C62834"/>
    <w:rsid w:val="00C67245"/>
    <w:rsid w:val="00C679B2"/>
    <w:rsid w:val="00C67C54"/>
    <w:rsid w:val="00C70893"/>
    <w:rsid w:val="00C74382"/>
    <w:rsid w:val="00C75B51"/>
    <w:rsid w:val="00C765D6"/>
    <w:rsid w:val="00C838E8"/>
    <w:rsid w:val="00C91D65"/>
    <w:rsid w:val="00C923AF"/>
    <w:rsid w:val="00CA4D18"/>
    <w:rsid w:val="00CA7F7A"/>
    <w:rsid w:val="00CB0C91"/>
    <w:rsid w:val="00CB253F"/>
    <w:rsid w:val="00CB25AC"/>
    <w:rsid w:val="00CB2B2F"/>
    <w:rsid w:val="00CB44B9"/>
    <w:rsid w:val="00CB4F49"/>
    <w:rsid w:val="00CB78AE"/>
    <w:rsid w:val="00CC142E"/>
    <w:rsid w:val="00CC469E"/>
    <w:rsid w:val="00CC621D"/>
    <w:rsid w:val="00CC759C"/>
    <w:rsid w:val="00CD0346"/>
    <w:rsid w:val="00CD5AF8"/>
    <w:rsid w:val="00CD6702"/>
    <w:rsid w:val="00CE16A2"/>
    <w:rsid w:val="00CE74BF"/>
    <w:rsid w:val="00CF5422"/>
    <w:rsid w:val="00D130AD"/>
    <w:rsid w:val="00D14D75"/>
    <w:rsid w:val="00D14E63"/>
    <w:rsid w:val="00D15C04"/>
    <w:rsid w:val="00D219BC"/>
    <w:rsid w:val="00D32BB7"/>
    <w:rsid w:val="00D33037"/>
    <w:rsid w:val="00D33C13"/>
    <w:rsid w:val="00D35681"/>
    <w:rsid w:val="00D40553"/>
    <w:rsid w:val="00D43DA7"/>
    <w:rsid w:val="00D4509A"/>
    <w:rsid w:val="00D518D2"/>
    <w:rsid w:val="00D54A83"/>
    <w:rsid w:val="00D54DA8"/>
    <w:rsid w:val="00D550B7"/>
    <w:rsid w:val="00D619BD"/>
    <w:rsid w:val="00D62F1E"/>
    <w:rsid w:val="00D63F6C"/>
    <w:rsid w:val="00D7058D"/>
    <w:rsid w:val="00D7105B"/>
    <w:rsid w:val="00D73778"/>
    <w:rsid w:val="00D74246"/>
    <w:rsid w:val="00D766F8"/>
    <w:rsid w:val="00D76B51"/>
    <w:rsid w:val="00D82D95"/>
    <w:rsid w:val="00D851E9"/>
    <w:rsid w:val="00D85FEC"/>
    <w:rsid w:val="00D8680A"/>
    <w:rsid w:val="00D90803"/>
    <w:rsid w:val="00DA7720"/>
    <w:rsid w:val="00DB17CF"/>
    <w:rsid w:val="00DB20D3"/>
    <w:rsid w:val="00DC0B21"/>
    <w:rsid w:val="00DC1AEF"/>
    <w:rsid w:val="00DD75EC"/>
    <w:rsid w:val="00DD7F10"/>
    <w:rsid w:val="00DE1784"/>
    <w:rsid w:val="00DE19EC"/>
    <w:rsid w:val="00DE55DD"/>
    <w:rsid w:val="00DE6FCB"/>
    <w:rsid w:val="00DF3805"/>
    <w:rsid w:val="00E026E4"/>
    <w:rsid w:val="00E038F2"/>
    <w:rsid w:val="00E046FD"/>
    <w:rsid w:val="00E0671F"/>
    <w:rsid w:val="00E13BAD"/>
    <w:rsid w:val="00E1459D"/>
    <w:rsid w:val="00E152D0"/>
    <w:rsid w:val="00E17AD4"/>
    <w:rsid w:val="00E21B59"/>
    <w:rsid w:val="00E2599C"/>
    <w:rsid w:val="00E32560"/>
    <w:rsid w:val="00E3293B"/>
    <w:rsid w:val="00E337A1"/>
    <w:rsid w:val="00E43319"/>
    <w:rsid w:val="00E44C4A"/>
    <w:rsid w:val="00E450D6"/>
    <w:rsid w:val="00E547D1"/>
    <w:rsid w:val="00E5716C"/>
    <w:rsid w:val="00E61251"/>
    <w:rsid w:val="00E6351A"/>
    <w:rsid w:val="00E74626"/>
    <w:rsid w:val="00E7503B"/>
    <w:rsid w:val="00E779C9"/>
    <w:rsid w:val="00E81E57"/>
    <w:rsid w:val="00E82ECA"/>
    <w:rsid w:val="00E8571B"/>
    <w:rsid w:val="00E86303"/>
    <w:rsid w:val="00E94181"/>
    <w:rsid w:val="00E959B3"/>
    <w:rsid w:val="00EA22D1"/>
    <w:rsid w:val="00EA2553"/>
    <w:rsid w:val="00EA3F34"/>
    <w:rsid w:val="00EA3F77"/>
    <w:rsid w:val="00EA4D71"/>
    <w:rsid w:val="00EB3747"/>
    <w:rsid w:val="00EC3FD2"/>
    <w:rsid w:val="00ED30CA"/>
    <w:rsid w:val="00ED34E4"/>
    <w:rsid w:val="00ED3A94"/>
    <w:rsid w:val="00ED77D9"/>
    <w:rsid w:val="00ED7CE0"/>
    <w:rsid w:val="00EE0EB3"/>
    <w:rsid w:val="00EE6BCC"/>
    <w:rsid w:val="00EE7613"/>
    <w:rsid w:val="00EF042E"/>
    <w:rsid w:val="00EF0F15"/>
    <w:rsid w:val="00EF5155"/>
    <w:rsid w:val="00EF5BB2"/>
    <w:rsid w:val="00EF6E18"/>
    <w:rsid w:val="00F02458"/>
    <w:rsid w:val="00F0297B"/>
    <w:rsid w:val="00F040D5"/>
    <w:rsid w:val="00F04FF8"/>
    <w:rsid w:val="00F07251"/>
    <w:rsid w:val="00F0796B"/>
    <w:rsid w:val="00F07ABD"/>
    <w:rsid w:val="00F118C7"/>
    <w:rsid w:val="00F126AF"/>
    <w:rsid w:val="00F15F61"/>
    <w:rsid w:val="00F17FF1"/>
    <w:rsid w:val="00F25FFF"/>
    <w:rsid w:val="00F2634E"/>
    <w:rsid w:val="00F26ACC"/>
    <w:rsid w:val="00F27AB5"/>
    <w:rsid w:val="00F3074B"/>
    <w:rsid w:val="00F31931"/>
    <w:rsid w:val="00F40C04"/>
    <w:rsid w:val="00F465FA"/>
    <w:rsid w:val="00F468F5"/>
    <w:rsid w:val="00F51F45"/>
    <w:rsid w:val="00F5556D"/>
    <w:rsid w:val="00F600AB"/>
    <w:rsid w:val="00F61C9B"/>
    <w:rsid w:val="00F6243C"/>
    <w:rsid w:val="00F65989"/>
    <w:rsid w:val="00F72644"/>
    <w:rsid w:val="00F72AA7"/>
    <w:rsid w:val="00F74227"/>
    <w:rsid w:val="00F76C5C"/>
    <w:rsid w:val="00F80504"/>
    <w:rsid w:val="00F81D3E"/>
    <w:rsid w:val="00F8373E"/>
    <w:rsid w:val="00F84519"/>
    <w:rsid w:val="00F84A6C"/>
    <w:rsid w:val="00F85C37"/>
    <w:rsid w:val="00F86EAD"/>
    <w:rsid w:val="00F900F7"/>
    <w:rsid w:val="00F92E4A"/>
    <w:rsid w:val="00FA07C7"/>
    <w:rsid w:val="00FA0CE0"/>
    <w:rsid w:val="00FA1B12"/>
    <w:rsid w:val="00FA3B0D"/>
    <w:rsid w:val="00FA7119"/>
    <w:rsid w:val="00FA785F"/>
    <w:rsid w:val="00FB1EFC"/>
    <w:rsid w:val="00FB274A"/>
    <w:rsid w:val="00FB2C50"/>
    <w:rsid w:val="00FB5137"/>
    <w:rsid w:val="00FC13CC"/>
    <w:rsid w:val="00FC2135"/>
    <w:rsid w:val="00FC37A4"/>
    <w:rsid w:val="00FC5E65"/>
    <w:rsid w:val="00FC70FA"/>
    <w:rsid w:val="00FD2F1F"/>
    <w:rsid w:val="00FF09DC"/>
    <w:rsid w:val="00FF0AC4"/>
    <w:rsid w:val="00FF3F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5AD8F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6D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406D3"/>
    <w:pPr>
      <w:spacing w:after="0" w:line="240" w:lineRule="auto"/>
    </w:pPr>
    <w:rPr>
      <w:sz w:val="28"/>
      <w:lang w:eastAsia="en-US"/>
    </w:rPr>
  </w:style>
  <w:style w:type="paragraph" w:styleId="HTML">
    <w:name w:val="HTML Preformatted"/>
    <w:basedOn w:val="a"/>
    <w:link w:val="HTML0"/>
    <w:uiPriority w:val="99"/>
    <w:rsid w:val="0083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ий HTML Знак"/>
    <w:basedOn w:val="a0"/>
    <w:link w:val="HTML"/>
    <w:uiPriority w:val="99"/>
    <w:locked/>
    <w:rsid w:val="00835B93"/>
    <w:rPr>
      <w:rFonts w:ascii="Courier New" w:hAnsi="Courier New" w:cs="Courier New"/>
      <w:color w:val="000000"/>
      <w:sz w:val="28"/>
      <w:szCs w:val="28"/>
      <w:lang w:val="ru-RU" w:eastAsia="ru-RU"/>
    </w:rPr>
  </w:style>
  <w:style w:type="paragraph" w:styleId="a4">
    <w:name w:val="header"/>
    <w:basedOn w:val="a"/>
    <w:link w:val="a5"/>
    <w:uiPriority w:val="99"/>
    <w:rsid w:val="00EA4D71"/>
    <w:pPr>
      <w:tabs>
        <w:tab w:val="center" w:pos="4677"/>
        <w:tab w:val="right" w:pos="9355"/>
      </w:tabs>
    </w:pPr>
  </w:style>
  <w:style w:type="character" w:customStyle="1" w:styleId="a5">
    <w:name w:val="Верхній колонтитул Знак"/>
    <w:basedOn w:val="a0"/>
    <w:link w:val="a4"/>
    <w:uiPriority w:val="99"/>
    <w:semiHidden/>
    <w:locked/>
    <w:rPr>
      <w:rFonts w:eastAsia="Times New Roman" w:cs="Times New Roman"/>
      <w:sz w:val="24"/>
      <w:szCs w:val="24"/>
    </w:rPr>
  </w:style>
  <w:style w:type="character" w:styleId="a6">
    <w:name w:val="page number"/>
    <w:basedOn w:val="a0"/>
    <w:uiPriority w:val="99"/>
    <w:rsid w:val="00EA4D71"/>
    <w:rPr>
      <w:rFonts w:cs="Times New Roman"/>
    </w:rPr>
  </w:style>
  <w:style w:type="paragraph" w:styleId="a7">
    <w:name w:val="footer"/>
    <w:basedOn w:val="a"/>
    <w:link w:val="a8"/>
    <w:uiPriority w:val="99"/>
    <w:rsid w:val="00EA4D71"/>
    <w:pPr>
      <w:tabs>
        <w:tab w:val="center" w:pos="4677"/>
        <w:tab w:val="right" w:pos="9355"/>
      </w:tabs>
    </w:pPr>
  </w:style>
  <w:style w:type="character" w:customStyle="1" w:styleId="a8">
    <w:name w:val="Нижній колонтитул Знак"/>
    <w:basedOn w:val="a0"/>
    <w:link w:val="a7"/>
    <w:uiPriority w:val="99"/>
    <w:semiHidden/>
    <w:locked/>
    <w:rPr>
      <w:rFonts w:eastAsia="Times New Roman" w:cs="Times New Roman"/>
      <w:sz w:val="24"/>
      <w:szCs w:val="24"/>
    </w:rPr>
  </w:style>
  <w:style w:type="paragraph" w:styleId="a9">
    <w:name w:val="Balloon Text"/>
    <w:basedOn w:val="a"/>
    <w:link w:val="aa"/>
    <w:uiPriority w:val="99"/>
    <w:semiHidden/>
    <w:rsid w:val="00D14D75"/>
    <w:rPr>
      <w:rFonts w:ascii="Tahoma" w:hAnsi="Tahoma" w:cs="Tahoma"/>
      <w:sz w:val="16"/>
      <w:szCs w:val="16"/>
    </w:rPr>
  </w:style>
  <w:style w:type="character" w:customStyle="1" w:styleId="aa">
    <w:name w:val="Текст у виносці Знак"/>
    <w:basedOn w:val="a0"/>
    <w:link w:val="a9"/>
    <w:uiPriority w:val="99"/>
    <w:semiHidden/>
    <w:locked/>
    <w:rPr>
      <w:rFonts w:eastAsia="Times New Roman" w:cs="Times New Roman"/>
      <w:sz w:val="2"/>
    </w:rPr>
  </w:style>
  <w:style w:type="paragraph" w:customStyle="1" w:styleId="rvps7">
    <w:name w:val="rvps7"/>
    <w:basedOn w:val="a"/>
    <w:rsid w:val="00F8373E"/>
    <w:pPr>
      <w:spacing w:before="100" w:beforeAutospacing="1" w:after="100" w:afterAutospacing="1"/>
    </w:pPr>
    <w:rPr>
      <w:lang w:val="uk-UA" w:eastAsia="uk-UA"/>
    </w:rPr>
  </w:style>
  <w:style w:type="character" w:customStyle="1" w:styleId="rvts15">
    <w:name w:val="rvts15"/>
    <w:rsid w:val="00F8373E"/>
  </w:style>
  <w:style w:type="character" w:customStyle="1" w:styleId="ab">
    <w:name w:val="Текст примітки Знак"/>
    <w:basedOn w:val="a0"/>
    <w:link w:val="ac"/>
    <w:uiPriority w:val="99"/>
    <w:locked/>
    <w:rsid w:val="000E4541"/>
    <w:rPr>
      <w:rFonts w:cs="Times New Roman"/>
      <w:sz w:val="20"/>
      <w:szCs w:val="20"/>
      <w:lang w:val="ru-RU" w:eastAsia="ru-RU"/>
    </w:rPr>
  </w:style>
  <w:style w:type="paragraph" w:styleId="ac">
    <w:name w:val="annotation text"/>
    <w:basedOn w:val="a"/>
    <w:link w:val="ab"/>
    <w:uiPriority w:val="99"/>
    <w:rsid w:val="000E4541"/>
    <w:rPr>
      <w:sz w:val="20"/>
      <w:szCs w:val="20"/>
    </w:rPr>
  </w:style>
  <w:style w:type="character" w:customStyle="1" w:styleId="1">
    <w:name w:val="Текст примітки Знак1"/>
    <w:basedOn w:val="a0"/>
    <w:uiPriority w:val="99"/>
    <w:semiHidden/>
    <w:rPr>
      <w:sz w:val="20"/>
      <w:szCs w:val="20"/>
      <w:lang w:val="ru-RU" w:eastAsia="ru-RU"/>
    </w:rPr>
  </w:style>
  <w:style w:type="character" w:customStyle="1" w:styleId="19">
    <w:name w:val="Текст примітки Знак19"/>
    <w:basedOn w:val="a0"/>
    <w:uiPriority w:val="99"/>
    <w:semiHidden/>
    <w:rPr>
      <w:rFonts w:cs="Times New Roman"/>
      <w:sz w:val="20"/>
      <w:szCs w:val="20"/>
      <w:lang w:val="ru-RU" w:eastAsia="ru-RU"/>
    </w:rPr>
  </w:style>
  <w:style w:type="character" w:customStyle="1" w:styleId="18">
    <w:name w:val="Текст примітки Знак18"/>
    <w:basedOn w:val="a0"/>
    <w:uiPriority w:val="99"/>
    <w:semiHidden/>
    <w:rPr>
      <w:rFonts w:cs="Times New Roman"/>
      <w:sz w:val="20"/>
      <w:szCs w:val="20"/>
      <w:lang w:val="ru-RU" w:eastAsia="ru-RU"/>
    </w:rPr>
  </w:style>
  <w:style w:type="character" w:customStyle="1" w:styleId="17">
    <w:name w:val="Текст примітки Знак17"/>
    <w:basedOn w:val="a0"/>
    <w:uiPriority w:val="99"/>
    <w:semiHidden/>
    <w:rPr>
      <w:rFonts w:cs="Times New Roman"/>
      <w:sz w:val="20"/>
      <w:szCs w:val="20"/>
      <w:lang w:val="ru-RU" w:eastAsia="ru-RU"/>
    </w:rPr>
  </w:style>
  <w:style w:type="character" w:customStyle="1" w:styleId="16">
    <w:name w:val="Текст примітки Знак16"/>
    <w:basedOn w:val="a0"/>
    <w:uiPriority w:val="99"/>
    <w:semiHidden/>
    <w:rPr>
      <w:rFonts w:cs="Times New Roman"/>
      <w:sz w:val="20"/>
      <w:szCs w:val="20"/>
      <w:lang w:val="ru-RU" w:eastAsia="ru-RU"/>
    </w:rPr>
  </w:style>
  <w:style w:type="character" w:customStyle="1" w:styleId="15">
    <w:name w:val="Текст примітки Знак15"/>
    <w:basedOn w:val="a0"/>
    <w:uiPriority w:val="99"/>
    <w:semiHidden/>
    <w:rPr>
      <w:rFonts w:cs="Times New Roman"/>
      <w:sz w:val="20"/>
      <w:szCs w:val="20"/>
      <w:lang w:val="ru-RU" w:eastAsia="ru-RU"/>
    </w:rPr>
  </w:style>
  <w:style w:type="character" w:customStyle="1" w:styleId="14">
    <w:name w:val="Текст примітки Знак14"/>
    <w:basedOn w:val="a0"/>
    <w:uiPriority w:val="99"/>
    <w:semiHidden/>
    <w:rPr>
      <w:rFonts w:cs="Times New Roman"/>
      <w:sz w:val="20"/>
      <w:szCs w:val="20"/>
      <w:lang w:val="ru-RU" w:eastAsia="ru-RU"/>
    </w:rPr>
  </w:style>
  <w:style w:type="character" w:customStyle="1" w:styleId="13">
    <w:name w:val="Текст примітки Знак13"/>
    <w:basedOn w:val="a0"/>
    <w:uiPriority w:val="99"/>
    <w:semiHidden/>
    <w:rPr>
      <w:rFonts w:cs="Times New Roman"/>
      <w:sz w:val="20"/>
      <w:szCs w:val="20"/>
      <w:lang w:val="ru-RU" w:eastAsia="ru-RU"/>
    </w:rPr>
  </w:style>
  <w:style w:type="character" w:customStyle="1" w:styleId="12">
    <w:name w:val="Текст примітки Знак12"/>
    <w:basedOn w:val="a0"/>
    <w:uiPriority w:val="99"/>
    <w:semiHidden/>
    <w:rPr>
      <w:rFonts w:cs="Times New Roman"/>
      <w:sz w:val="20"/>
      <w:szCs w:val="20"/>
      <w:lang w:val="ru-RU" w:eastAsia="ru-RU"/>
    </w:rPr>
  </w:style>
  <w:style w:type="character" w:customStyle="1" w:styleId="11">
    <w:name w:val="Текст примітки Знак11"/>
    <w:basedOn w:val="a0"/>
    <w:uiPriority w:val="99"/>
    <w:semiHidden/>
    <w:rPr>
      <w:rFonts w:cs="Times New Roman"/>
      <w:sz w:val="20"/>
      <w:szCs w:val="20"/>
      <w:lang w:val="ru-RU" w:eastAsia="ru-RU"/>
    </w:rPr>
  </w:style>
  <w:style w:type="character" w:customStyle="1" w:styleId="ad">
    <w:name w:val="Тема примітки Знак"/>
    <w:basedOn w:val="ab"/>
    <w:link w:val="ae"/>
    <w:uiPriority w:val="99"/>
    <w:locked/>
    <w:rsid w:val="000E4541"/>
    <w:rPr>
      <w:rFonts w:cs="Times New Roman"/>
      <w:b/>
      <w:bCs/>
      <w:sz w:val="20"/>
      <w:szCs w:val="20"/>
      <w:lang w:val="ru-RU" w:eastAsia="ru-RU"/>
    </w:rPr>
  </w:style>
  <w:style w:type="paragraph" w:styleId="ae">
    <w:name w:val="annotation subject"/>
    <w:basedOn w:val="ac"/>
    <w:next w:val="ac"/>
    <w:link w:val="ad"/>
    <w:uiPriority w:val="99"/>
    <w:rsid w:val="000E4541"/>
    <w:rPr>
      <w:b/>
      <w:bCs/>
    </w:rPr>
  </w:style>
  <w:style w:type="character" w:customStyle="1" w:styleId="10">
    <w:name w:val="Тема примітки Знак1"/>
    <w:basedOn w:val="ab"/>
    <w:uiPriority w:val="99"/>
    <w:semiHidden/>
    <w:rPr>
      <w:rFonts w:cs="Times New Roman"/>
      <w:b/>
      <w:bCs/>
      <w:sz w:val="20"/>
      <w:szCs w:val="20"/>
      <w:lang w:val="ru-RU" w:eastAsia="ru-RU"/>
    </w:rPr>
  </w:style>
  <w:style w:type="character" w:customStyle="1" w:styleId="190">
    <w:name w:val="Тема примітки Знак19"/>
    <w:basedOn w:val="ab"/>
    <w:uiPriority w:val="99"/>
    <w:semiHidden/>
    <w:rPr>
      <w:rFonts w:cs="Times New Roman"/>
      <w:b/>
      <w:bCs/>
      <w:sz w:val="20"/>
      <w:szCs w:val="20"/>
      <w:lang w:val="ru-RU" w:eastAsia="ru-RU"/>
    </w:rPr>
  </w:style>
  <w:style w:type="character" w:customStyle="1" w:styleId="180">
    <w:name w:val="Тема примітки Знак18"/>
    <w:basedOn w:val="ab"/>
    <w:uiPriority w:val="99"/>
    <w:semiHidden/>
    <w:rPr>
      <w:rFonts w:cs="Times New Roman"/>
      <w:b/>
      <w:bCs/>
      <w:sz w:val="20"/>
      <w:szCs w:val="20"/>
      <w:lang w:val="ru-RU" w:eastAsia="ru-RU"/>
    </w:rPr>
  </w:style>
  <w:style w:type="character" w:customStyle="1" w:styleId="170">
    <w:name w:val="Тема примітки Знак17"/>
    <w:basedOn w:val="ab"/>
    <w:uiPriority w:val="99"/>
    <w:semiHidden/>
    <w:rPr>
      <w:rFonts w:cs="Times New Roman"/>
      <w:b/>
      <w:bCs/>
      <w:sz w:val="20"/>
      <w:szCs w:val="20"/>
      <w:lang w:val="ru-RU" w:eastAsia="ru-RU"/>
    </w:rPr>
  </w:style>
  <w:style w:type="character" w:customStyle="1" w:styleId="160">
    <w:name w:val="Тема примітки Знак16"/>
    <w:basedOn w:val="ab"/>
    <w:uiPriority w:val="99"/>
    <w:semiHidden/>
    <w:rPr>
      <w:rFonts w:cs="Times New Roman"/>
      <w:b/>
      <w:bCs/>
      <w:sz w:val="20"/>
      <w:szCs w:val="20"/>
      <w:lang w:val="ru-RU" w:eastAsia="ru-RU"/>
    </w:rPr>
  </w:style>
  <w:style w:type="character" w:customStyle="1" w:styleId="150">
    <w:name w:val="Тема примітки Знак15"/>
    <w:basedOn w:val="ab"/>
    <w:uiPriority w:val="99"/>
    <w:semiHidden/>
    <w:rPr>
      <w:rFonts w:cs="Times New Roman"/>
      <w:b/>
      <w:bCs/>
      <w:sz w:val="20"/>
      <w:szCs w:val="20"/>
      <w:lang w:val="ru-RU" w:eastAsia="ru-RU"/>
    </w:rPr>
  </w:style>
  <w:style w:type="character" w:customStyle="1" w:styleId="140">
    <w:name w:val="Тема примітки Знак14"/>
    <w:basedOn w:val="ab"/>
    <w:uiPriority w:val="99"/>
    <w:semiHidden/>
    <w:rPr>
      <w:rFonts w:cs="Times New Roman"/>
      <w:b/>
      <w:bCs/>
      <w:sz w:val="20"/>
      <w:szCs w:val="20"/>
      <w:lang w:val="ru-RU" w:eastAsia="ru-RU"/>
    </w:rPr>
  </w:style>
  <w:style w:type="character" w:customStyle="1" w:styleId="130">
    <w:name w:val="Тема примітки Знак13"/>
    <w:basedOn w:val="ab"/>
    <w:uiPriority w:val="99"/>
    <w:semiHidden/>
    <w:rPr>
      <w:rFonts w:cs="Times New Roman"/>
      <w:b/>
      <w:bCs/>
      <w:sz w:val="20"/>
      <w:szCs w:val="20"/>
      <w:lang w:val="ru-RU" w:eastAsia="ru-RU"/>
    </w:rPr>
  </w:style>
  <w:style w:type="character" w:customStyle="1" w:styleId="120">
    <w:name w:val="Тема примітки Знак12"/>
    <w:basedOn w:val="ab"/>
    <w:uiPriority w:val="99"/>
    <w:semiHidden/>
    <w:rPr>
      <w:rFonts w:cs="Times New Roman"/>
      <w:b/>
      <w:bCs/>
      <w:sz w:val="20"/>
      <w:szCs w:val="20"/>
      <w:lang w:val="ru-RU" w:eastAsia="ru-RU"/>
    </w:rPr>
  </w:style>
  <w:style w:type="character" w:customStyle="1" w:styleId="110">
    <w:name w:val="Тема примітки Знак11"/>
    <w:basedOn w:val="ab"/>
    <w:uiPriority w:val="99"/>
    <w:semiHidden/>
    <w:rPr>
      <w:rFonts w:cs="Times New Roman"/>
      <w:b/>
      <w:bCs/>
      <w:sz w:val="20"/>
      <w:szCs w:val="20"/>
      <w:lang w:val="ru-RU" w:eastAsia="ru-RU"/>
    </w:rPr>
  </w:style>
  <w:style w:type="character" w:customStyle="1" w:styleId="rvts9">
    <w:name w:val="rvts9"/>
    <w:rsid w:val="000E4541"/>
  </w:style>
  <w:style w:type="paragraph" w:customStyle="1" w:styleId="rvps2">
    <w:name w:val="rvps2"/>
    <w:basedOn w:val="a"/>
    <w:rsid w:val="000E4541"/>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2823">
      <w:marLeft w:val="0"/>
      <w:marRight w:val="0"/>
      <w:marTop w:val="0"/>
      <w:marBottom w:val="0"/>
      <w:divBdr>
        <w:top w:val="none" w:sz="0" w:space="0" w:color="auto"/>
        <w:left w:val="none" w:sz="0" w:space="0" w:color="auto"/>
        <w:bottom w:val="none" w:sz="0" w:space="0" w:color="auto"/>
        <w:right w:val="none" w:sz="0" w:space="0" w:color="auto"/>
      </w:divBdr>
    </w:div>
    <w:div w:id="33772824">
      <w:marLeft w:val="0"/>
      <w:marRight w:val="0"/>
      <w:marTop w:val="0"/>
      <w:marBottom w:val="0"/>
      <w:divBdr>
        <w:top w:val="none" w:sz="0" w:space="0" w:color="auto"/>
        <w:left w:val="none" w:sz="0" w:space="0" w:color="auto"/>
        <w:bottom w:val="none" w:sz="0" w:space="0" w:color="auto"/>
        <w:right w:val="none" w:sz="0" w:space="0" w:color="auto"/>
      </w:divBdr>
    </w:div>
    <w:div w:id="33772825">
      <w:marLeft w:val="0"/>
      <w:marRight w:val="0"/>
      <w:marTop w:val="0"/>
      <w:marBottom w:val="0"/>
      <w:divBdr>
        <w:top w:val="none" w:sz="0" w:space="0" w:color="auto"/>
        <w:left w:val="none" w:sz="0" w:space="0" w:color="auto"/>
        <w:bottom w:val="none" w:sz="0" w:space="0" w:color="auto"/>
        <w:right w:val="none" w:sz="0" w:space="0" w:color="auto"/>
      </w:divBdr>
    </w:div>
    <w:div w:id="33772826">
      <w:marLeft w:val="0"/>
      <w:marRight w:val="0"/>
      <w:marTop w:val="0"/>
      <w:marBottom w:val="0"/>
      <w:divBdr>
        <w:top w:val="none" w:sz="0" w:space="0" w:color="auto"/>
        <w:left w:val="none" w:sz="0" w:space="0" w:color="auto"/>
        <w:bottom w:val="none" w:sz="0" w:space="0" w:color="auto"/>
        <w:right w:val="none" w:sz="0" w:space="0" w:color="auto"/>
      </w:divBdr>
    </w:div>
    <w:div w:id="337728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9DA41-D32E-4CD4-B0FA-C0B4DDC2F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667</Words>
  <Characters>4720</Characters>
  <Application>Microsoft Office Word</Application>
  <DocSecurity>0</DocSecurity>
  <Lines>39</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2021-02-23T14:39:00Z</dcterms:created>
  <dcterms:modified xsi:type="dcterms:W3CDTF">2021-11-30T10:05:00Z</dcterms:modified>
</cp:coreProperties>
</file>