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AF" w:rsidRPr="00E70AAF" w:rsidRDefault="00E70AAF" w:rsidP="00802C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AAF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E70AAF" w:rsidRPr="00E70AAF" w:rsidRDefault="00E70AAF" w:rsidP="0080711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70AAF"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  <w:r w:rsidR="00946AF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"</w:t>
      </w:r>
      <w:r w:rsidR="00B313D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Про економічний паспорт</w:t>
      </w:r>
      <w:r w:rsidR="00946AF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"</w:t>
      </w:r>
    </w:p>
    <w:p w:rsidR="00E70AAF" w:rsidRPr="00E70AAF" w:rsidRDefault="00E70AAF" w:rsidP="00802C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E70AAF" w:rsidRPr="00E70AAF" w:rsidRDefault="005C3019" w:rsidP="00B313D2">
      <w:pPr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hyperlink r:id="rId7" w:tgtFrame="_blank" w:history="1">
        <w:r w:rsidR="00E70AAF" w:rsidRPr="00E70AAF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>1. Обґрунтування необхідності прийняття законопроекту</w:t>
        </w:r>
      </w:hyperlink>
      <w:r w:rsidR="00E70AAF" w:rsidRPr="00E70AAF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</w:p>
    <w:p w:rsidR="00A67C28" w:rsidRDefault="00A67C28" w:rsidP="00A67C2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Проект Закону України 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Про економічний паспорт</w:t>
      </w:r>
      <w:r w:rsidR="002911E6" w:rsidRPr="002911E6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(далі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–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проект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Закону) розроблено з метою врегулювання на законодавчому рівні питання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підвищення економічного рівня життя громадян України, а саме створення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Фонду майбутніх поколінь (далі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– Фонд), я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кий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матиме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статус</w:t>
      </w:r>
      <w:r w:rsid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неприбуткової організації та формуватиметься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державних внесків,</w:t>
      </w:r>
      <w:r w:rsid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що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здійснюватимуться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 w:rsidRPr="00F174B0">
        <w:rPr>
          <w:rFonts w:ascii="Times New Roman" w:eastAsia="Times New Roman" w:hAnsi="Times New Roman"/>
          <w:sz w:val="28"/>
          <w:szCs w:val="28"/>
        </w:rPr>
        <w:t xml:space="preserve">за </w:t>
      </w:r>
      <w:r w:rsidR="009171D1" w:rsidRPr="009171D1">
        <w:rPr>
          <w:rFonts w:ascii="Times New Roman" w:eastAsia="Times New Roman" w:hAnsi="Times New Roman"/>
          <w:sz w:val="28"/>
          <w:szCs w:val="28"/>
        </w:rPr>
        <w:t>рахунок коштів Державного бюджету України, які надійдуть від сплати рентних платежів за користування надрами для видобування корисних копалин загальнодержавного значення</w:t>
      </w:r>
      <w:r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. Ко</w:t>
      </w:r>
      <w:r w:rsidR="008819B9"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ш</w:t>
      </w:r>
      <w:r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ти будуть</w:t>
      </w:r>
      <w:r w:rsidR="008819B9"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нараховуватис</w:t>
      </w:r>
      <w:r w:rsidR="009171D1"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я</w:t>
      </w:r>
      <w:r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українцям, народженим в Україні після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1 січня 2019 року, та</w:t>
      </w:r>
      <w:r w:rsid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8819B9"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виплачуватимуться</w:t>
      </w:r>
      <w:r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їм після досягнення ними 18 років.</w:t>
      </w:r>
    </w:p>
    <w:p w:rsidR="00A67C28" w:rsidRPr="00A67C28" w:rsidRDefault="008819B9" w:rsidP="008819B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Світовий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досвід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показує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що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ідею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підвищення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рівня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життя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населення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реалізувати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таким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шляхом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можливо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світі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різні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механізми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створення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накопичувальних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фондів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майбутніх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поколінь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кошти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яких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розподіляються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серед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громадян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Частина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них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формується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рахунок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доходів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видобутку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корисних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копалин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(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Норвегія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ОАЕ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Саудівська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Аравія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Кувейт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).</w:t>
      </w:r>
    </w:p>
    <w:p w:rsidR="00A67C28" w:rsidRPr="00A67C28" w:rsidRDefault="008819B9" w:rsidP="008819B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Рентна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плата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користування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низкою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надр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занизькою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порівняно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багатьма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країнами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Спроби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підвищити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цю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плату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зазвичай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стикаються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спротивом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бізнесу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Головним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аргументом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стає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те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що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бізнес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не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розуміє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саме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використовуються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їхні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податки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Використання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ренти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для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наповнення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="009171D1"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дасть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бізнесу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впевненість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що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ці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платежі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використовуються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визначені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цілі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175F44" w:rsidRPr="00E70AAF" w:rsidRDefault="00175F44" w:rsidP="00175F44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70AAF" w:rsidRPr="00E70AAF" w:rsidRDefault="005C3019" w:rsidP="00B313D2">
      <w:pPr>
        <w:shd w:val="clear" w:color="auto" w:fill="FFFFFF"/>
        <w:spacing w:after="120" w:line="240" w:lineRule="auto"/>
        <w:ind w:firstLine="720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hyperlink r:id="rId8" w:tgtFrame="_blank" w:history="1">
        <w:r w:rsidR="00E70AAF" w:rsidRPr="00E70AAF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>2. Мета</w:t>
        </w:r>
      </w:hyperlink>
      <w:r w:rsidR="00E70AAF" w:rsidRPr="00E70AAF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законопроекту</w:t>
      </w:r>
    </w:p>
    <w:p w:rsidR="008819B9" w:rsidRPr="008819B9" w:rsidRDefault="008819B9" w:rsidP="008819B9">
      <w:pPr>
        <w:widowControl w:val="0"/>
        <w:tabs>
          <w:tab w:val="left" w:pos="993"/>
        </w:tabs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Метою проекту Закону є підвищення економічного рівня життя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громадян України, припинення відтоку українців за кордон,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формування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ефективної системи соціального захисту населення шляхом створення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Фонду, який буде здійснювати накопичення державних внесків на користь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учасників Фонду з подальшим інвестуванням активів.</w:t>
      </w:r>
    </w:p>
    <w:p w:rsidR="008819B9" w:rsidRPr="008819B9" w:rsidRDefault="008819B9" w:rsidP="008819B9">
      <w:pPr>
        <w:widowControl w:val="0"/>
        <w:tabs>
          <w:tab w:val="left" w:pos="993"/>
        </w:tabs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Фонд зможе стати потужним гравцем на фінансових ринках,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що дозволить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збільшит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и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пропозиці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ю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довгих грошей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. Це сприятиме зниженню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відсоткових ставок за кредитами та іншими інвестиційними інструментами.</w:t>
      </w:r>
    </w:p>
    <w:p w:rsidR="00E70AAF" w:rsidRPr="008819B9" w:rsidRDefault="008819B9" w:rsidP="008819B9">
      <w:pPr>
        <w:widowControl w:val="0"/>
        <w:tabs>
          <w:tab w:val="left" w:pos="993"/>
        </w:tabs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Концентрація у Фонді значних фінансових ресурсів дозволить більш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ефективно розміщувати ресурси в економіці за умови, що система управління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Фондом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буде спроможною. Держава зможе створити механізми для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8819B9">
        <w:rPr>
          <w:rFonts w:ascii="Times New Roman" w:eastAsia="Times New Roman" w:hAnsi="Times New Roman"/>
          <w:bCs/>
          <w:sz w:val="28"/>
          <w:szCs w:val="28"/>
          <w:lang w:eastAsia="uk-UA"/>
        </w:rPr>
        <w:t>розміщення ресурсів у великі довгострокові інвестиційні проекти.</w:t>
      </w:r>
    </w:p>
    <w:p w:rsidR="006458C0" w:rsidRDefault="006458C0" w:rsidP="008819B9">
      <w:pPr>
        <w:shd w:val="clear" w:color="auto" w:fill="FFFFFF"/>
        <w:spacing w:after="0" w:line="240" w:lineRule="auto"/>
        <w:ind w:firstLine="720"/>
        <w:outlineLvl w:val="2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70AAF" w:rsidRPr="00E70AAF" w:rsidRDefault="005C3019" w:rsidP="00B313D2">
      <w:pPr>
        <w:shd w:val="clear" w:color="auto" w:fill="FFFFFF"/>
        <w:spacing w:after="120" w:line="240" w:lineRule="auto"/>
        <w:ind w:firstLine="720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hyperlink r:id="rId9" w:tgtFrame="_blank" w:history="1">
        <w:r w:rsidR="00E70AAF" w:rsidRPr="00E70AAF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 xml:space="preserve">3. </w:t>
        </w:r>
        <w:r w:rsidR="00BE4D75" w:rsidRPr="00BE4D75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 xml:space="preserve">Загальна характеристика та основні положення законопроекту </w:t>
        </w:r>
      </w:hyperlink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Проектом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визначаються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особливості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функціонування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системи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економічного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паспорт</w:t>
      </w:r>
      <w:r w:rsidR="009171D1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базується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засадах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накопичення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lastRenderedPageBreak/>
        <w:t>внесків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індивідуальних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рахунках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забезпечує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таким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учасникам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Згідно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проектом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юридичною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особою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створеною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Кабінетом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Міністрів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має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статус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неприбуткової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організації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(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непідприємницького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товариства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)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провадить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діяльність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виключно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метою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накопичення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користь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подальшим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DF18F5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інвестуванням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</w:t>
      </w:r>
      <w:r w:rsidR="00DF18F5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також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учасникам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формується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 </w:t>
      </w:r>
      <w:r w:rsidR="009171D1"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державних внесків,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що </w:t>
      </w:r>
      <w:r w:rsid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здійснюватимуться</w:t>
      </w:r>
      <w:r w:rsidR="009171D1"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 w:rsidRPr="00F174B0">
        <w:rPr>
          <w:rFonts w:ascii="Times New Roman" w:eastAsia="Times New Roman" w:hAnsi="Times New Roman"/>
          <w:sz w:val="28"/>
          <w:szCs w:val="28"/>
        </w:rPr>
        <w:t xml:space="preserve">за </w:t>
      </w:r>
      <w:r w:rsidR="009171D1" w:rsidRPr="009171D1">
        <w:rPr>
          <w:rFonts w:ascii="Times New Roman" w:eastAsia="Times New Roman" w:hAnsi="Times New Roman"/>
          <w:sz w:val="28"/>
          <w:szCs w:val="28"/>
        </w:rPr>
        <w:t>рахунок коштів Державного бюджету України, які надійдуть від сплати рентних платежів за користування надрами для видобування корисних копалин загальнодержавного значення</w:t>
      </w:r>
      <w:r w:rsidR="009171D1" w:rsidRPr="009171D1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9171D1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державному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банку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має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ліцензію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провадження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пенсійних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(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далі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–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зберігач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).</w:t>
      </w:r>
    </w:p>
    <w:p w:rsidR="002911E6" w:rsidRPr="002911E6" w:rsidRDefault="009171D1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орічн</w:t>
      </w: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ий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</w:t>
      </w: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ий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</w:t>
      </w: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ок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одного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учасника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визначається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розмірі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двох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мінімальних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заробітних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плат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встановлено</w:t>
      </w:r>
      <w:r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му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законом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1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січня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календарного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року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="002C33E6"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якому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здійснюється</w:t>
      </w:r>
      <w:r w:rsid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відповідний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державний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2911E6"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внесок</w:t>
      </w:r>
      <w:r w:rsidR="002911E6"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внески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>здійснюються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шляхом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зарахування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відповідних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грошових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сум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поточний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рахунок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зберігача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щороку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кожного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досягнення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ним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18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DF18F5" w:rsidRPr="00DF18F5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Адміністрування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адміністратором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має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ліцензію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провадження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адміністрування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недержавних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пенсійних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юридичною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особою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="00DF18F5" w:rsidRP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100 відсотків акцій (часток) якої належить державі або іншому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>господарському товариству, 100 </w:t>
      </w:r>
      <w:r w:rsidR="00DF18F5" w:rsidRP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>відсотків акцій (часток) якого належать державі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Управління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формуються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рахунок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державних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інвестиційного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доходу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що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утворюється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результаті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розміщення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інвестування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коштів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штрафних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санкцій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пені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інших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платежів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користь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компанією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управління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підставі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ліцензії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провадження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управління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Накопичення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використання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інформації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збір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ведення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обліку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Єдиному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соціальному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реєстрі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Адміністратор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Єдиного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соціального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реєстру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визначається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Кабінетом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Міністрів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підставі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оложення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затвердженого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Кабінетом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Міністрів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Компанія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управління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активами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зберігач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обираються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Радою</w:t>
      </w:r>
      <w:r w:rsidR="00DF18F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результатами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конкурсу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укладають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договір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Радою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Управління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Фондом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контроль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його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діяльністю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Рада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</w:t>
      </w:r>
      <w:r w:rsidR="00F854E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складу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якої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входять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п’ять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осіб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обираються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результатами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конкурсу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Для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проведення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конкурсного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відбору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Кабінет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Міністрів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утворює</w:t>
      </w:r>
      <w:r w:rsidR="00F854E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комісію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конкурсного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відбору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постійно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діючим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органом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lastRenderedPageBreak/>
        <w:t>затверджує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її</w:t>
      </w:r>
      <w:r w:rsidR="00F854E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склад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призначає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голову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секретаря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комісії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конкурсного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відбору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громадянин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народжений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01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січня</w:t>
      </w:r>
      <w:r w:rsidR="00F854E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2019 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року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має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право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отримання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Для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отримання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із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системи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економічного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паспорта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після</w:t>
      </w:r>
      <w:r w:rsidR="00F854E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досягненн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 w:rsidRPr="00A67C28">
        <w:rPr>
          <w:rFonts w:ascii="Times New Roman" w:eastAsia="Times New Roman" w:hAnsi="Times New Roman"/>
          <w:bCs/>
          <w:sz w:val="28"/>
          <w:szCs w:val="28"/>
          <w:lang w:eastAsia="uk-UA"/>
        </w:rPr>
        <w:t>18 років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повинен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бути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громадянином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постійно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проживати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території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протягом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останніх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п’яти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>і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системи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економічного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паспорта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можуть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здійснюватися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навчання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купівлю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власного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житла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лікування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тяжких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захворювань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або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наявності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критичних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станів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здоров’я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підтверджені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установленому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порядку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>, 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будь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>-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який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час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досягнення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18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років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2911E6" w:rsidRPr="002911E6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виплат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учасникам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сумі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облікованій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їх</w:t>
      </w:r>
      <w:r w:rsidR="00067A79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ніх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індивідуальних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рахунках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але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не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меншій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від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загальної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суми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внесків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сплачених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Фонду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користь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таких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учасників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гарантується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державою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344A20" w:rsidRDefault="002911E6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Державне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регулювання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нагляд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системі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економічного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паспорта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здійснюється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наглядовим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органом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відповідно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України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"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Про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державне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регулювання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ринків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капіталу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організованих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товарних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ринків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",</w:t>
      </w:r>
      <w:r w:rsidR="00B313D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цього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Закону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та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інших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актів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 w:hint="eastAsia"/>
          <w:bCs/>
          <w:sz w:val="28"/>
          <w:szCs w:val="28"/>
          <w:lang w:eastAsia="uk-UA"/>
        </w:rPr>
        <w:t>законодавства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B313D2" w:rsidRDefault="00B313D2" w:rsidP="002911E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70AAF" w:rsidRPr="00E70AAF" w:rsidRDefault="005C3019" w:rsidP="00BE4D75">
      <w:pPr>
        <w:shd w:val="clear" w:color="auto" w:fill="FFFFFF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hyperlink r:id="rId10" w:tgtFrame="_blank" w:history="1">
        <w:r w:rsidR="00E70AAF" w:rsidRPr="00E70AAF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 xml:space="preserve">4. </w:t>
        </w:r>
        <w:r w:rsidR="00BE4D75" w:rsidRPr="00BE4D75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 xml:space="preserve">Стан нормативно-правової бази у зазначеній сфері правового регулювання </w:t>
        </w:r>
      </w:hyperlink>
    </w:p>
    <w:p w:rsidR="00A96540" w:rsidRDefault="00B313D2" w:rsidP="00B313D2">
      <w:pPr>
        <w:shd w:val="clear" w:color="auto" w:fill="FFFFFF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Регулювання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правовідносин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зазначеній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сфері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здійснюється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Конституцією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України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законами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України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регулювання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капіталу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організованих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товарних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ринків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фінансові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послуги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регулювання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фінансових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послуг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аудит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фінансової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звітності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аудиторську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діяльність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запобігання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протидію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легалізації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відмиванню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доходів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одержаних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злочинним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шляхом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фінансуванню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тероризму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фінансуванню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розповсюдження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зброї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масового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знищення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банки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банківську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діяльність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тощо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E70AAF" w:rsidRPr="00E70AAF" w:rsidRDefault="00E70AAF" w:rsidP="00802C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70AAF" w:rsidRPr="00E70AAF" w:rsidRDefault="005C3019" w:rsidP="00B313D2">
      <w:pPr>
        <w:shd w:val="clear" w:color="auto" w:fill="FFFFFF"/>
        <w:spacing w:after="120" w:line="240" w:lineRule="auto"/>
        <w:ind w:firstLine="720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hyperlink r:id="rId11" w:tgtFrame="_blank" w:history="1">
        <w:r w:rsidR="00E70AAF" w:rsidRPr="00E70AAF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uk-UA"/>
          </w:rPr>
          <w:t>5. Фінансово-економічне обґрунтування</w:t>
        </w:r>
      </w:hyperlink>
    </w:p>
    <w:p w:rsidR="0039438E" w:rsidRPr="00B313D2" w:rsidRDefault="00B313D2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Сплата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внесків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системи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економічного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паспорта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здійснюватиметься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рахунок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коштів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спеціального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бюджету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який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формуватиметься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рахунок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таких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надходжень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B313D2" w:rsidRPr="00B313D2" w:rsidRDefault="00B313D2" w:rsidP="00067A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70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відсотків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рентної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користування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надрами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видобування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корисних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копалин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загальнодержавного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значення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2023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році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–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35 %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зі щорічним збільшенням на 5 %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досягнення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70</w:t>
      </w:r>
      <w:r w:rsidR="002C33E6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%);</w:t>
      </w:r>
    </w:p>
    <w:p w:rsidR="00B313D2" w:rsidRPr="00B313D2" w:rsidRDefault="00B313D2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95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відсотків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рентної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користування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надрами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видобування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нафти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природного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газу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газового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конденсату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2023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році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–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47,5 %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зі щорічним збільшенням на 5 % 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 xml:space="preserve">(крім останнього року,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 xml:space="preserve"> якому</w:t>
      </w:r>
      <w:r w:rsidR="00FF42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збільшується </w:t>
      </w:r>
      <w:r w:rsidR="00FF4215">
        <w:rPr>
          <w:rFonts w:ascii="Times New Roman" w:eastAsia="Times New Roman" w:hAnsi="Times New Roman"/>
          <w:sz w:val="28"/>
          <w:szCs w:val="28"/>
          <w:lang w:eastAsia="uk-UA"/>
        </w:rPr>
        <w:t>на 2,5 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>%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досягнення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95 %);</w:t>
      </w:r>
    </w:p>
    <w:p w:rsidR="00B313D2" w:rsidRPr="00B313D2" w:rsidRDefault="00B313D2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lastRenderedPageBreak/>
        <w:t>рентн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плат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користування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надрами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межах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континентального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шельфу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/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або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виключної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морської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економічної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зони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України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2023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році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 xml:space="preserve"> 50 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%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зі щорічним збільшенням на 5 %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досягнення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100 %).</w:t>
      </w:r>
    </w:p>
    <w:p w:rsidR="00B313D2" w:rsidRPr="00B313D2" w:rsidRDefault="00B313D2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Зазначені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надходження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передбачені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проекті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бюджету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2022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рік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 xml:space="preserve"> 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складають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69 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млрд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ивень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Default="00B313D2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Перший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річний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державний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внесок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2023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році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становитиме</w:t>
      </w:r>
      <w:r w:rsidR="004C63E8">
        <w:rPr>
          <w:rFonts w:ascii="Times New Roman" w:eastAsia="Times New Roman" w:hAnsi="Times New Roman"/>
          <w:sz w:val="28"/>
          <w:szCs w:val="28"/>
          <w:lang w:eastAsia="uk-UA"/>
        </w:rPr>
        <w:t xml:space="preserve"> 21,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млрд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розрахунку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2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розмірів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мінімальної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заробітної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(7 176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прогнозної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статистики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народжуваності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момент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перших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виплат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 2037 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році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сума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коштів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становитиме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1 832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млрд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рахунок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внесків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отриманого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інвестиційного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доходу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від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розміщення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коштів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цінні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папери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що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дозволить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здійснити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загальну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суму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 191 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млрд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розрахунку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626 125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грн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одного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учасника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4C63E8" w:rsidRPr="00B313D2" w:rsidRDefault="004C63E8" w:rsidP="00B313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E4D75" w:rsidRPr="00BE4D75" w:rsidRDefault="00BE4D75" w:rsidP="00BE4D75">
      <w:pPr>
        <w:shd w:val="clear" w:color="auto" w:fill="FFFFFF"/>
        <w:spacing w:after="120" w:line="240" w:lineRule="auto"/>
        <w:ind w:firstLine="720"/>
        <w:jc w:val="both"/>
        <w:outlineLvl w:val="2"/>
        <w:rPr>
          <w:rStyle w:val="a3"/>
          <w:rFonts w:ascii="Times New Roman" w:eastAsia="Times New Roman" w:hAnsi="Times New Roman"/>
          <w:b/>
          <w:bCs/>
          <w:color w:val="auto"/>
          <w:sz w:val="28"/>
          <w:szCs w:val="28"/>
          <w:u w:val="none"/>
          <w:lang w:eastAsia="uk-UA"/>
        </w:rPr>
      </w:pPr>
      <w:r>
        <w:rPr>
          <w:rStyle w:val="a3"/>
          <w:rFonts w:ascii="Times New Roman" w:eastAsia="Times New Roman" w:hAnsi="Times New Roman"/>
          <w:b/>
          <w:bCs/>
          <w:color w:val="auto"/>
          <w:sz w:val="28"/>
          <w:szCs w:val="28"/>
          <w:u w:val="none"/>
          <w:lang w:eastAsia="uk-UA"/>
        </w:rPr>
        <w:t xml:space="preserve">6. </w:t>
      </w:r>
      <w:r w:rsidRPr="00BE4D75">
        <w:rPr>
          <w:rStyle w:val="a3"/>
          <w:rFonts w:ascii="Times New Roman" w:eastAsia="Times New Roman" w:hAnsi="Times New Roman"/>
          <w:b/>
          <w:bCs/>
          <w:color w:val="auto"/>
          <w:sz w:val="28"/>
          <w:szCs w:val="28"/>
          <w:u w:val="none"/>
          <w:lang w:eastAsia="uk-UA"/>
        </w:rPr>
        <w:t>Прогноз впливу соціально-економічних, правових та інших наслідків прийняття відповідного Закону України</w:t>
      </w:r>
      <w:r w:rsidRPr="00BE4D75">
        <w:rPr>
          <w:rStyle w:val="a3"/>
          <w:rFonts w:ascii="Times New Roman" w:eastAsia="Times New Roman" w:hAnsi="Times New Roman" w:hint="eastAsia"/>
          <w:b/>
          <w:bCs/>
          <w:color w:val="auto"/>
          <w:sz w:val="28"/>
          <w:szCs w:val="28"/>
          <w:u w:val="none"/>
          <w:lang w:eastAsia="uk-UA"/>
        </w:rPr>
        <w:t xml:space="preserve"> </w:t>
      </w:r>
    </w:p>
    <w:p w:rsidR="00B313D2" w:rsidRP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Реалізація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положень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Закону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України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економічний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паспорт</w:t>
      </w:r>
      <w:r w:rsidRPr="002911E6">
        <w:rPr>
          <w:rFonts w:ascii="Times New Roman" w:eastAsia="Times New Roman" w:hAnsi="Times New Roman"/>
          <w:bCs/>
          <w:sz w:val="28"/>
          <w:szCs w:val="28"/>
          <w:lang w:eastAsia="uk-UA"/>
        </w:rPr>
        <w:t>"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створить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додаткові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стимули</w:t>
      </w:r>
      <w:r w:rsidR="00067A79"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3E6">
        <w:rPr>
          <w:rFonts w:ascii="Times New Roman" w:eastAsia="Times New Roman" w:hAnsi="Times New Roman"/>
          <w:sz w:val="28"/>
          <w:szCs w:val="28"/>
          <w:lang w:eastAsia="uk-UA"/>
        </w:rPr>
        <w:t xml:space="preserve">для </w:t>
      </w:r>
      <w:r w:rsidR="00067A79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розвитку</w:t>
      </w:r>
      <w:r w:rsidR="00067A79"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7A79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економіки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, а також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сприятиме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формуванню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цілеспрямованої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державної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політики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щодо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підвищення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життєвого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рівня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населення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P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моменту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коли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почне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здійснювати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перші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збільшиться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попит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3E6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="002C33E6"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3E6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ринку</w:t>
      </w:r>
      <w:r w:rsidR="002C33E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3E6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нерухомості</w:t>
      </w:r>
      <w:r w:rsidR="002C33E6">
        <w:rPr>
          <w:rFonts w:ascii="Times New Roman" w:eastAsia="Times New Roman" w:hAnsi="Times New Roman" w:hint="eastAsia"/>
          <w:sz w:val="28"/>
          <w:szCs w:val="28"/>
          <w:lang w:eastAsia="uk-UA"/>
        </w:rPr>
        <w:t xml:space="preserve">, а також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інструменти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інвестування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пенсійні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буде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потужним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поштовхом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розвитку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нерухомості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накопичувальної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пенсійної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системи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P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Фонд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стане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інструментом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реалізації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структурних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реформ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Ресурси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які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зможуть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отримати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молоді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люди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оплати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свого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навчання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дадуть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їм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більше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гнучкості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виборі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освітньої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траєкторії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Освітні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можливості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перспективи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молодих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людей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праці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менше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залежатимуть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від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фінансового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стану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їхніх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батьків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P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3E6">
        <w:rPr>
          <w:rFonts w:ascii="Times New Roman" w:eastAsia="Times New Roman" w:hAnsi="Times New Roman" w:hint="eastAsia"/>
          <w:sz w:val="28"/>
          <w:szCs w:val="28"/>
          <w:lang w:eastAsia="uk-UA"/>
        </w:rPr>
        <w:t>буде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більш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конкурентним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прогнозованим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Освітні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установи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зможуть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будувати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довгострокові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стратегії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для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інвестування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розвиток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освітніх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продуктів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прогнозувати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попит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свої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послуги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B313D2" w:rsidRP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Оскільки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молоді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з’явиться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можливість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інвестувати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свою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самостійно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зможе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скоротити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видатки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фінансування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вищої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освіти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бюджету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Pr="00B313D2" w:rsidRDefault="00B313D2" w:rsidP="006458C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Можливість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використовувати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кошти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лікування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допоможе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дітям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тяжкими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хворобами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покрити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хоча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частково</w:t>
      </w:r>
      <w:r w:rsidR="00067A79"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необхідні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витрати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цьому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батьки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зможуть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самостійно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обрати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заклад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можна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отримати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допомогу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458C0">
        <w:rPr>
          <w:rFonts w:ascii="Times New Roman" w:eastAsia="Times New Roman" w:hAnsi="Times New Roman" w:hint="eastAsia"/>
          <w:sz w:val="28"/>
          <w:szCs w:val="28"/>
          <w:lang w:eastAsia="uk-UA"/>
        </w:rPr>
        <w:t xml:space="preserve">спрятиме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розвитку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458C0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відповідних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медичних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послуг</w:t>
      </w:r>
      <w:r w:rsidR="006458C0">
        <w:rPr>
          <w:rFonts w:ascii="Times New Roman" w:eastAsia="Times New Roman" w:hAnsi="Times New Roman"/>
          <w:sz w:val="28"/>
          <w:szCs w:val="28"/>
          <w:lang w:eastAsia="uk-UA"/>
        </w:rPr>
        <w:t xml:space="preserve"> та формуванню лікарнями </w:t>
      </w:r>
      <w:r w:rsidR="006458C0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довгостроков</w:t>
      </w:r>
      <w:r w:rsidR="006458C0">
        <w:rPr>
          <w:rFonts w:ascii="Times New Roman" w:eastAsia="Times New Roman" w:hAnsi="Times New Roman" w:hint="eastAsia"/>
          <w:sz w:val="28"/>
          <w:szCs w:val="28"/>
          <w:lang w:eastAsia="uk-UA"/>
        </w:rPr>
        <w:t>их</w:t>
      </w:r>
      <w:r w:rsidR="006458C0"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458C0">
        <w:rPr>
          <w:rFonts w:ascii="Times New Roman" w:eastAsia="Times New Roman" w:hAnsi="Times New Roman" w:hint="eastAsia"/>
          <w:sz w:val="28"/>
          <w:szCs w:val="28"/>
          <w:lang w:eastAsia="uk-UA"/>
        </w:rPr>
        <w:t>стратегій</w:t>
      </w:r>
      <w:r w:rsidR="006458C0"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458C0"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розвитку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таких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послуг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313D2" w:rsidRDefault="00B313D2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Визначення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цілей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на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які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молодь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зможе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використовувати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кошти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дасть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чіткі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сигнали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ринкам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інвесторам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про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пріоритети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держави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та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конкретні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інструменти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їх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313D2">
        <w:rPr>
          <w:rFonts w:ascii="Times New Roman" w:eastAsia="Times New Roman" w:hAnsi="Times New Roman" w:hint="eastAsia"/>
          <w:sz w:val="28"/>
          <w:szCs w:val="28"/>
          <w:lang w:eastAsia="uk-UA"/>
        </w:rPr>
        <w:t>реалізації</w:t>
      </w:r>
      <w:r w:rsidRPr="00B313D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6458C0" w:rsidRDefault="006458C0" w:rsidP="004C63E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2CF9" w:rsidRPr="00BE4D75" w:rsidRDefault="00AA2CF9" w:rsidP="00802C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D75">
        <w:rPr>
          <w:rFonts w:ascii="Times New Roman" w:hAnsi="Times New Roman"/>
          <w:sz w:val="28"/>
          <w:szCs w:val="28"/>
        </w:rPr>
        <w:t>Заступник Керівника</w:t>
      </w:r>
    </w:p>
    <w:p w:rsidR="00AA2CF9" w:rsidRPr="00802223" w:rsidRDefault="00AA2CF9" w:rsidP="00802C8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  <w:r w:rsidRPr="00BE4D75">
        <w:rPr>
          <w:rFonts w:ascii="Times New Roman" w:hAnsi="Times New Roman"/>
          <w:sz w:val="28"/>
          <w:szCs w:val="28"/>
        </w:rPr>
        <w:t xml:space="preserve">Офісу Президента України                                                                       </w:t>
      </w:r>
      <w:proofErr w:type="spellStart"/>
      <w:r w:rsidR="00B313D2" w:rsidRPr="00802223">
        <w:rPr>
          <w:rFonts w:ascii="Times New Roman" w:hAnsi="Times New Roman"/>
          <w:b/>
          <w:sz w:val="28"/>
          <w:szCs w:val="28"/>
        </w:rPr>
        <w:t>Р.</w:t>
      </w:r>
      <w:r w:rsidR="00BE4D75" w:rsidRPr="00802223">
        <w:rPr>
          <w:rFonts w:ascii="Times New Roman" w:hAnsi="Times New Roman"/>
          <w:b/>
          <w:sz w:val="28"/>
          <w:szCs w:val="28"/>
        </w:rPr>
        <w:t>Шурма</w:t>
      </w:r>
      <w:proofErr w:type="spellEnd"/>
    </w:p>
    <w:sectPr w:rsidR="00AA2CF9" w:rsidRPr="00802223" w:rsidSect="006458C0">
      <w:headerReference w:type="default" r:id="rId12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019" w:rsidRDefault="005C3019" w:rsidP="00AF0244">
      <w:pPr>
        <w:spacing w:after="0" w:line="240" w:lineRule="auto"/>
      </w:pPr>
      <w:r>
        <w:separator/>
      </w:r>
    </w:p>
  </w:endnote>
  <w:endnote w:type="continuationSeparator" w:id="0">
    <w:p w:rsidR="005C3019" w:rsidRDefault="005C3019" w:rsidP="00AF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019" w:rsidRDefault="005C3019" w:rsidP="00AF0244">
      <w:pPr>
        <w:spacing w:after="0" w:line="240" w:lineRule="auto"/>
      </w:pPr>
      <w:r>
        <w:separator/>
      </w:r>
    </w:p>
  </w:footnote>
  <w:footnote w:type="continuationSeparator" w:id="0">
    <w:p w:rsidR="005C3019" w:rsidRDefault="005C3019" w:rsidP="00AF0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51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F0244" w:rsidRPr="00AF0244" w:rsidRDefault="00AF0244" w:rsidP="006458C0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F0244">
          <w:rPr>
            <w:rFonts w:ascii="Times New Roman" w:hAnsi="Times New Roman"/>
            <w:sz w:val="28"/>
            <w:szCs w:val="28"/>
          </w:rPr>
          <w:fldChar w:fldCharType="begin"/>
        </w:r>
        <w:r w:rsidRPr="00AF024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0244">
          <w:rPr>
            <w:rFonts w:ascii="Times New Roman" w:hAnsi="Times New Roman"/>
            <w:sz w:val="28"/>
            <w:szCs w:val="28"/>
          </w:rPr>
          <w:fldChar w:fldCharType="separate"/>
        </w:r>
        <w:r w:rsidR="002C33E6">
          <w:rPr>
            <w:rFonts w:ascii="Times New Roman" w:hAnsi="Times New Roman"/>
            <w:noProof/>
            <w:sz w:val="28"/>
            <w:szCs w:val="28"/>
          </w:rPr>
          <w:t>3</w:t>
        </w:r>
        <w:r w:rsidRPr="00AF024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AF"/>
    <w:rsid w:val="000571FD"/>
    <w:rsid w:val="00067A79"/>
    <w:rsid w:val="000948E1"/>
    <w:rsid w:val="000B1B53"/>
    <w:rsid w:val="000B41A9"/>
    <w:rsid w:val="00140CB2"/>
    <w:rsid w:val="00146EEB"/>
    <w:rsid w:val="00175F44"/>
    <w:rsid w:val="002911E6"/>
    <w:rsid w:val="002C33E6"/>
    <w:rsid w:val="002C4C39"/>
    <w:rsid w:val="00344A20"/>
    <w:rsid w:val="0039438E"/>
    <w:rsid w:val="00474711"/>
    <w:rsid w:val="00476AE8"/>
    <w:rsid w:val="004C63E8"/>
    <w:rsid w:val="005208E0"/>
    <w:rsid w:val="00587C98"/>
    <w:rsid w:val="005C3019"/>
    <w:rsid w:val="005C3BF4"/>
    <w:rsid w:val="005F1F02"/>
    <w:rsid w:val="006458C0"/>
    <w:rsid w:val="0070708A"/>
    <w:rsid w:val="00802223"/>
    <w:rsid w:val="00802C87"/>
    <w:rsid w:val="0080711D"/>
    <w:rsid w:val="00835CE8"/>
    <w:rsid w:val="0088117D"/>
    <w:rsid w:val="008819B9"/>
    <w:rsid w:val="0088683F"/>
    <w:rsid w:val="008A0395"/>
    <w:rsid w:val="008B1E1D"/>
    <w:rsid w:val="008C4FDF"/>
    <w:rsid w:val="009171D1"/>
    <w:rsid w:val="00934549"/>
    <w:rsid w:val="00940697"/>
    <w:rsid w:val="00946AF0"/>
    <w:rsid w:val="00A048E8"/>
    <w:rsid w:val="00A67C28"/>
    <w:rsid w:val="00A96540"/>
    <w:rsid w:val="00AA2CF9"/>
    <w:rsid w:val="00AF0244"/>
    <w:rsid w:val="00B03920"/>
    <w:rsid w:val="00B05972"/>
    <w:rsid w:val="00B22945"/>
    <w:rsid w:val="00B26AC1"/>
    <w:rsid w:val="00B313D2"/>
    <w:rsid w:val="00B32657"/>
    <w:rsid w:val="00B448E0"/>
    <w:rsid w:val="00BC4016"/>
    <w:rsid w:val="00BE4D75"/>
    <w:rsid w:val="00C456E1"/>
    <w:rsid w:val="00CC0168"/>
    <w:rsid w:val="00CE7E02"/>
    <w:rsid w:val="00D66B60"/>
    <w:rsid w:val="00DB5848"/>
    <w:rsid w:val="00DF18F5"/>
    <w:rsid w:val="00E00550"/>
    <w:rsid w:val="00E00CDE"/>
    <w:rsid w:val="00E47DF8"/>
    <w:rsid w:val="00E70AAF"/>
    <w:rsid w:val="00F531FC"/>
    <w:rsid w:val="00F53466"/>
    <w:rsid w:val="00F65A2B"/>
    <w:rsid w:val="00F854E2"/>
    <w:rsid w:val="00F864F4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19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AAF"/>
    <w:rPr>
      <w:color w:val="0563C1" w:themeColor="hyperlink"/>
      <w:u w:val="single"/>
    </w:rPr>
  </w:style>
  <w:style w:type="character" w:customStyle="1" w:styleId="a4">
    <w:name w:val="Звичайний (веб) Знак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5"/>
    <w:uiPriority w:val="99"/>
    <w:locked/>
    <w:rsid w:val="00E70AAF"/>
    <w:rPr>
      <w:rFonts w:ascii="Times New Roman" w:eastAsiaTheme="minorEastAsia" w:hAnsi="Times New Roman" w:cs="Times New Roman"/>
      <w:sz w:val="24"/>
      <w:szCs w:val="24"/>
    </w:rPr>
  </w:style>
  <w:style w:type="paragraph" w:styleId="a5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a4"/>
    <w:uiPriority w:val="99"/>
    <w:unhideWhenUsed/>
    <w:rsid w:val="00E70AAF"/>
    <w:pPr>
      <w:tabs>
        <w:tab w:val="center" w:pos="4819"/>
        <w:tab w:val="right" w:pos="9639"/>
      </w:tabs>
    </w:pPr>
    <w:rPr>
      <w:rFonts w:ascii="Times New Roman" w:eastAsiaTheme="minorEastAsia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02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F024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F02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F024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B313D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F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2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01285?ed=2020_12_16&amp;an=22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kp201285?ed=2020_12_16&amp;an=228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kp201285?ed=2020_12_16&amp;an=23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ps.ligazakon.net/document/view/kp201285?ed=2020_12_16&amp;an=2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kp201285?ed=2020_12_16&amp;an=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F780F-81F5-4D49-99CF-43092CFE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6743</Words>
  <Characters>3844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2021-10-25T13:42:00Z</dcterms:created>
  <dcterms:modified xsi:type="dcterms:W3CDTF">2021-11-30T12:32:00Z</dcterms:modified>
</cp:coreProperties>
</file>